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C" w:rsidRPr="00DE336C" w:rsidRDefault="00DE336C" w:rsidP="00DE336C">
      <w:pPr>
        <w:shd w:val="clear" w:color="auto" w:fill="CC3333"/>
        <w:spacing w:after="0" w:line="240" w:lineRule="auto"/>
        <w:jc w:val="right"/>
        <w:rPr>
          <w:rFonts w:ascii="Times New Roman" w:eastAsia="Times New Roman" w:hAnsi="Times New Roman" w:cs="Times New Roman"/>
          <w:sz w:val="24"/>
          <w:szCs w:val="24"/>
          <w:lang w:eastAsia="it-IT"/>
        </w:rPr>
      </w:pP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b/>
          <w:bCs/>
          <w:color w:val="1D1D1D"/>
          <w:sz w:val="19"/>
          <w:szCs w:val="19"/>
          <w:lang w:eastAsia="it-IT"/>
        </w:rPr>
        <w:t>Legge 5 febbraio 1992, n. 104</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w:t>
      </w:r>
      <w:proofErr w:type="spellStart"/>
      <w:r w:rsidRPr="00DE336C">
        <w:rPr>
          <w:rFonts w:ascii="Verdana" w:eastAsia="Times New Roman" w:hAnsi="Verdana" w:cs="Times New Roman"/>
          <w:i/>
          <w:iCs/>
          <w:color w:val="1D1D1D"/>
          <w:sz w:val="19"/>
          <w:szCs w:val="19"/>
          <w:lang w:eastAsia="it-IT"/>
        </w:rPr>
        <w:t>Legge-quadro</w:t>
      </w:r>
      <w:proofErr w:type="spellEnd"/>
      <w:r w:rsidRPr="00DE336C">
        <w:rPr>
          <w:rFonts w:ascii="Verdana" w:eastAsia="Times New Roman" w:hAnsi="Verdana" w:cs="Times New Roman"/>
          <w:i/>
          <w:iCs/>
          <w:color w:val="1D1D1D"/>
          <w:sz w:val="19"/>
          <w:szCs w:val="19"/>
          <w:lang w:eastAsia="it-IT"/>
        </w:rPr>
        <w:t xml:space="preserve"> per l'assistenza, l'integrazione sociale e i diritti delle persone handicappate."</w:t>
      </w:r>
      <w:r w:rsidRPr="00DE336C">
        <w:rPr>
          <w:rFonts w:ascii="Verdana" w:eastAsia="Times New Roman" w:hAnsi="Verdana" w:cs="Times New Roman"/>
          <w:i/>
          <w:iCs/>
          <w:color w:val="1D1D1D"/>
          <w:sz w:val="19"/>
          <w:szCs w:val="19"/>
          <w:lang w:eastAsia="it-IT"/>
        </w:rPr>
        <w:br/>
        <w:t>(Pubblicata in G. U. 17 febbraio 1992, n. 39, S.O.)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b/>
          <w:bCs/>
          <w:color w:val="1D1D1D"/>
          <w:sz w:val="19"/>
          <w:szCs w:val="19"/>
          <w:lang w:eastAsia="it-IT"/>
        </w:rPr>
        <w:t>Nota bene:</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i/>
          <w:iCs/>
          <w:color w:val="1D1D1D"/>
          <w:sz w:val="19"/>
          <w:szCs w:val="19"/>
          <w:lang w:eastAsia="it-IT"/>
        </w:rPr>
        <w:t xml:space="preserve">quello che segue è il testo vigente dopo le ultime modifiche introdotte dalla </w:t>
      </w:r>
      <w:hyperlink r:id="rId4" w:history="1">
        <w:r w:rsidRPr="00DE336C">
          <w:rPr>
            <w:rFonts w:ascii="Verdana" w:eastAsia="Times New Roman" w:hAnsi="Verdana" w:cs="Times New Roman"/>
            <w:i/>
            <w:iCs/>
            <w:color w:val="761633"/>
            <w:sz w:val="19"/>
            <w:szCs w:val="19"/>
            <w:u w:val="single"/>
            <w:lang w:eastAsia="it-IT"/>
          </w:rPr>
          <w:t>Legge 8 marzo 2000, n. 53</w:t>
        </w:r>
      </w:hyperlink>
      <w:r w:rsidRPr="00DE336C">
        <w:rPr>
          <w:rFonts w:ascii="Verdana" w:eastAsia="Times New Roman" w:hAnsi="Verdana" w:cs="Times New Roman"/>
          <w:i/>
          <w:iCs/>
          <w:color w:val="1D1D1D"/>
          <w:sz w:val="19"/>
          <w:szCs w:val="19"/>
          <w:lang w:eastAsia="it-IT"/>
        </w:rPr>
        <w:t xml:space="preserve"> e dal </w:t>
      </w:r>
      <w:hyperlink r:id="rId5" w:history="1">
        <w:r w:rsidRPr="00DE336C">
          <w:rPr>
            <w:rFonts w:ascii="Verdana" w:eastAsia="Times New Roman" w:hAnsi="Verdana" w:cs="Times New Roman"/>
            <w:i/>
            <w:iCs/>
            <w:color w:val="761633"/>
            <w:sz w:val="19"/>
            <w:szCs w:val="19"/>
            <w:u w:val="single"/>
            <w:lang w:eastAsia="it-IT"/>
          </w:rPr>
          <w:t>decreto legislativo 26 marzo 2001, n. 151</w:t>
        </w:r>
      </w:hyperlink>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br/>
      </w:r>
      <w:r w:rsidRPr="00DE336C">
        <w:rPr>
          <w:rFonts w:ascii="Verdana" w:eastAsia="Times New Roman" w:hAnsi="Verdana" w:cs="Times New Roman"/>
          <w:i/>
          <w:iCs/>
          <w:color w:val="1D1D1D"/>
          <w:sz w:val="19"/>
          <w:szCs w:val="19"/>
          <w:lang w:eastAsia="it-IT"/>
        </w:rPr>
        <w:br/>
      </w:r>
      <w:bookmarkStart w:id="0" w:name="a1"/>
      <w:bookmarkEnd w:id="0"/>
      <w:r w:rsidRPr="00DE336C">
        <w:rPr>
          <w:rFonts w:ascii="Verdana" w:eastAsia="Times New Roman" w:hAnsi="Verdana" w:cs="Times New Roman"/>
          <w:b/>
          <w:bCs/>
          <w:color w:val="1D1D1D"/>
          <w:sz w:val="19"/>
          <w:szCs w:val="19"/>
          <w:lang w:eastAsia="it-IT"/>
        </w:rPr>
        <w:t>1. Finalità. - 1. La Repubblica: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garantisce il pieno rispetto della dignità umana e i diritti di libertà e di autonomia della persona handicappata e ne promuove la piena integrazione nella famiglia, nella scuola, nel lavoro e nella società;</w:t>
      </w:r>
      <w:r w:rsidRPr="00DE336C">
        <w:rPr>
          <w:rFonts w:ascii="Verdana" w:eastAsia="Times New Roman" w:hAnsi="Verdana" w:cs="Times New Roman"/>
          <w:color w:val="1D1D1D"/>
          <w:sz w:val="19"/>
          <w:szCs w:val="19"/>
          <w:lang w:eastAsia="it-IT"/>
        </w:rPr>
        <w:br/>
        <w:t>b) previene e rimuove le condizioni invalidanti che impediscono lo sviluppo della persona umana, il raggiungimento della massima autonomia possibile e la partecipazione della persona handicappata alla vita della collettività, nonché la realizzazione dei diritti civili, politici e patrimoniali;</w:t>
      </w:r>
      <w:r w:rsidRPr="00DE336C">
        <w:rPr>
          <w:rFonts w:ascii="Verdana" w:eastAsia="Times New Roman" w:hAnsi="Verdana" w:cs="Times New Roman"/>
          <w:color w:val="1D1D1D"/>
          <w:sz w:val="19"/>
          <w:szCs w:val="19"/>
          <w:lang w:eastAsia="it-IT"/>
        </w:rPr>
        <w:br/>
        <w:t>c) persegue il recupero funzionale e sociale della persona affetta da minorazioni fisiche, psichiche e sensoriali e assicura i servizi e le prestazioni per la prevenzione, la cura e la riabilitazione delle minorazioni, nonché la tutela giuridica ed economica della persona handicappata;</w:t>
      </w:r>
      <w:r w:rsidRPr="00DE336C">
        <w:rPr>
          <w:rFonts w:ascii="Verdana" w:eastAsia="Times New Roman" w:hAnsi="Verdana" w:cs="Times New Roman"/>
          <w:color w:val="1D1D1D"/>
          <w:sz w:val="19"/>
          <w:szCs w:val="19"/>
          <w:lang w:eastAsia="it-IT"/>
        </w:rPr>
        <w:br/>
        <w:t>d) predispone interventi volti a superare stati di emarginazione e di esclusione sociale della persona handicappata.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 w:name="a2"/>
      <w:bookmarkEnd w:id="1"/>
      <w:r w:rsidRPr="00DE336C">
        <w:rPr>
          <w:rFonts w:ascii="Verdana" w:eastAsia="Times New Roman" w:hAnsi="Verdana" w:cs="Times New Roman"/>
          <w:b/>
          <w:bCs/>
          <w:color w:val="1D1D1D"/>
          <w:sz w:val="19"/>
          <w:szCs w:val="19"/>
          <w:lang w:eastAsia="it-IT"/>
        </w:rPr>
        <w:t>2. Principi generali.</w:t>
      </w:r>
      <w:r w:rsidRPr="00DE336C">
        <w:rPr>
          <w:rFonts w:ascii="Verdana" w:eastAsia="Times New Roman" w:hAnsi="Verdana" w:cs="Times New Roman"/>
          <w:color w:val="1D1D1D"/>
          <w:sz w:val="19"/>
          <w:szCs w:val="19"/>
          <w:lang w:eastAsia="it-IT"/>
        </w:rPr>
        <w:t xml:space="preserve"> - 1. La presente legge detta i principi dell'ordinamento in materia di diritti, integrazione sociale e assistenza della persona handicappata. Essa costituisce inoltre riforma economico-sociale della Repubblica, ai sensi dell'articolo 4 dello Statuto speciale per il Trentino-Alto Adige, approvato con legge costituzionale 26 febbraio 1948, n. 5.</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 w:name="a3"/>
      <w:bookmarkEnd w:id="2"/>
      <w:r w:rsidRPr="00DE336C">
        <w:rPr>
          <w:rFonts w:ascii="Verdana" w:eastAsia="Times New Roman" w:hAnsi="Verdana" w:cs="Times New Roman"/>
          <w:b/>
          <w:bCs/>
          <w:color w:val="1D1D1D"/>
          <w:sz w:val="19"/>
          <w:szCs w:val="19"/>
          <w:lang w:eastAsia="it-IT"/>
        </w:rPr>
        <w:t>3. Soggetti aventi diritto.</w:t>
      </w:r>
      <w:r w:rsidRPr="00DE336C">
        <w:rPr>
          <w:rFonts w:ascii="Verdana" w:eastAsia="Times New Roman" w:hAnsi="Verdana" w:cs="Times New Roman"/>
          <w:color w:val="1D1D1D"/>
          <w:sz w:val="19"/>
          <w:szCs w:val="19"/>
          <w:lang w:eastAsia="it-IT"/>
        </w:rPr>
        <w:t xml:space="preserve"> - 1. E' persona handicappata colui che presenta una minorazione fisica, psichica o sensoriale, stabilizzata o progressiva, che è causa di difficoltà di apprendimento, di relazione o di integrazione lavorativa e tale da determinare un processo di svantaggio sociale o di emarginazione.</w:t>
      </w:r>
      <w:r w:rsidRPr="00DE336C">
        <w:rPr>
          <w:rFonts w:ascii="Verdana" w:eastAsia="Times New Roman" w:hAnsi="Verdana" w:cs="Times New Roman"/>
          <w:color w:val="1D1D1D"/>
          <w:sz w:val="19"/>
          <w:szCs w:val="19"/>
          <w:lang w:eastAsia="it-IT"/>
        </w:rPr>
        <w:br/>
        <w:t>2. La persona handicappata ha diritto alle prestazioni stabilite in suo favore in relazione alla natura e alla consistenza della minorazione, alla capacità complessiva individuale residua e alla efficacia delle terapie riabilitative.</w:t>
      </w:r>
      <w:r w:rsidRPr="00DE336C">
        <w:rPr>
          <w:rFonts w:ascii="Verdana" w:eastAsia="Times New Roman" w:hAnsi="Verdana" w:cs="Times New Roman"/>
          <w:color w:val="1D1D1D"/>
          <w:sz w:val="19"/>
          <w:szCs w:val="19"/>
          <w:lang w:eastAsia="it-IT"/>
        </w:rPr>
        <w:br/>
        <w:t xml:space="preserve">3. Qualora la minorazione, singola o plurima, abbia ridotto l'autonomia personale, correlata all'età, in modo da rendere necessario un intervento assistenziale permanente, continuativo e globale nella </w:t>
      </w:r>
      <w:r w:rsidRPr="00DE336C">
        <w:rPr>
          <w:rFonts w:ascii="Verdana" w:eastAsia="Times New Roman" w:hAnsi="Verdana" w:cs="Times New Roman"/>
          <w:color w:val="1D1D1D"/>
          <w:sz w:val="19"/>
          <w:szCs w:val="19"/>
          <w:lang w:eastAsia="it-IT"/>
        </w:rPr>
        <w:lastRenderedPageBreak/>
        <w:t>sfera individuale o in quella di relazione, la situazione assume connotazione di gravità. Le situazioni riconosciute di gravità determinano priorità nei programmi e negli interventi dei servizi pubblici.</w:t>
      </w:r>
      <w:r w:rsidRPr="00DE336C">
        <w:rPr>
          <w:rFonts w:ascii="Verdana" w:eastAsia="Times New Roman" w:hAnsi="Verdana" w:cs="Times New Roman"/>
          <w:color w:val="1D1D1D"/>
          <w:sz w:val="19"/>
          <w:szCs w:val="19"/>
          <w:lang w:eastAsia="it-IT"/>
        </w:rPr>
        <w:br/>
        <w:t>4. La presente legge si applica anche agli stranieri e agli apolidi, residenti, domiciliati o aventi stabile dimora nel territorio nazionale. Le relative prestazioni sono corrisposte nei limiti ed alle condizioni previste dalla vigente legislazione o da accordi internazionali.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b/>
          <w:bCs/>
          <w:color w:val="1D1D1D"/>
          <w:sz w:val="19"/>
          <w:szCs w:val="19"/>
          <w:lang w:eastAsia="it-IT"/>
        </w:rPr>
        <w:t>Consulta</w:t>
      </w:r>
      <w:r w:rsidRPr="00DE336C">
        <w:rPr>
          <w:rFonts w:ascii="Verdana" w:eastAsia="Times New Roman" w:hAnsi="Verdana" w:cs="Times New Roman"/>
          <w:color w:val="1D1D1D"/>
          <w:sz w:val="19"/>
          <w:szCs w:val="19"/>
          <w:lang w:eastAsia="it-IT"/>
        </w:rPr>
        <w:t xml:space="preserve"> le schede di approfondimento sull'</w:t>
      </w:r>
      <w:hyperlink r:id="rId6" w:history="1">
        <w:r w:rsidRPr="00DE336C">
          <w:rPr>
            <w:rFonts w:ascii="Verdana" w:eastAsia="Times New Roman" w:hAnsi="Verdana" w:cs="Times New Roman"/>
            <w:color w:val="761633"/>
            <w:sz w:val="19"/>
            <w:szCs w:val="19"/>
            <w:u w:val="single"/>
            <w:lang w:eastAsia="it-IT"/>
          </w:rPr>
          <w:t>accertamento dell'handicap</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 w:name="a4"/>
      <w:bookmarkEnd w:id="3"/>
      <w:r w:rsidRPr="00DE336C">
        <w:rPr>
          <w:rFonts w:ascii="Verdana" w:eastAsia="Times New Roman" w:hAnsi="Verdana" w:cs="Times New Roman"/>
          <w:b/>
          <w:bCs/>
          <w:color w:val="1D1D1D"/>
          <w:sz w:val="19"/>
          <w:szCs w:val="19"/>
          <w:lang w:eastAsia="it-IT"/>
        </w:rPr>
        <w:t>4. Accertamento dell'handicap.</w:t>
      </w:r>
      <w:r w:rsidRPr="00DE336C">
        <w:rPr>
          <w:rFonts w:ascii="Verdana" w:eastAsia="Times New Roman" w:hAnsi="Verdana" w:cs="Times New Roman"/>
          <w:color w:val="1D1D1D"/>
          <w:sz w:val="19"/>
          <w:szCs w:val="19"/>
          <w:lang w:eastAsia="it-IT"/>
        </w:rPr>
        <w:t xml:space="preserve"> - 1. Gli accertamenti relativi alla minorazione, alle difficoltà, alla necessità dell'intervento assistenziale permanente e alla capacità complessiva individuale residua, di cui all'articolo 3, sono effettuati dalle unità sanitarie locali mediante le commissioni mediche di cui all'articolo 1 della </w:t>
      </w:r>
      <w:hyperlink r:id="rId7" w:history="1">
        <w:r w:rsidRPr="00DE336C">
          <w:rPr>
            <w:rFonts w:ascii="Verdana" w:eastAsia="Times New Roman" w:hAnsi="Verdana" w:cs="Times New Roman"/>
            <w:color w:val="761633"/>
            <w:sz w:val="19"/>
            <w:szCs w:val="19"/>
            <w:u w:val="single"/>
            <w:lang w:eastAsia="it-IT"/>
          </w:rPr>
          <w:t>legge 15 ottobre 1990, n. 295</w:t>
        </w:r>
      </w:hyperlink>
      <w:r w:rsidRPr="00DE336C">
        <w:rPr>
          <w:rFonts w:ascii="Verdana" w:eastAsia="Times New Roman" w:hAnsi="Verdana" w:cs="Times New Roman"/>
          <w:color w:val="1D1D1D"/>
          <w:sz w:val="19"/>
          <w:szCs w:val="19"/>
          <w:lang w:eastAsia="it-IT"/>
        </w:rPr>
        <w:t>, che sono integrate da un operatore sociale e da un esperto nei casi da esaminare, in servizio presso le unità sanitarie locali.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b/>
          <w:bCs/>
          <w:color w:val="1D1D1D"/>
          <w:sz w:val="19"/>
          <w:szCs w:val="19"/>
          <w:lang w:eastAsia="it-IT"/>
        </w:rPr>
        <w:t>Consulta</w:t>
      </w:r>
      <w:r w:rsidRPr="00DE336C">
        <w:rPr>
          <w:rFonts w:ascii="Verdana" w:eastAsia="Times New Roman" w:hAnsi="Verdana" w:cs="Times New Roman"/>
          <w:color w:val="1D1D1D"/>
          <w:sz w:val="19"/>
          <w:szCs w:val="19"/>
          <w:lang w:eastAsia="it-IT"/>
        </w:rPr>
        <w:t xml:space="preserve"> le schede di approfondimento sull'</w:t>
      </w:r>
      <w:hyperlink r:id="rId8" w:history="1">
        <w:r w:rsidRPr="00DE336C">
          <w:rPr>
            <w:rFonts w:ascii="Verdana" w:eastAsia="Times New Roman" w:hAnsi="Verdana" w:cs="Times New Roman"/>
            <w:color w:val="761633"/>
            <w:sz w:val="19"/>
            <w:szCs w:val="19"/>
            <w:u w:val="single"/>
            <w:lang w:eastAsia="it-IT"/>
          </w:rPr>
          <w:t>accertamento dell'handicap</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 w:name="a5"/>
      <w:bookmarkEnd w:id="4"/>
      <w:r w:rsidRPr="00DE336C">
        <w:rPr>
          <w:rFonts w:ascii="Verdana" w:eastAsia="Times New Roman" w:hAnsi="Verdana" w:cs="Times New Roman"/>
          <w:b/>
          <w:bCs/>
          <w:color w:val="1D1D1D"/>
          <w:sz w:val="19"/>
          <w:szCs w:val="19"/>
          <w:lang w:eastAsia="it-IT"/>
        </w:rPr>
        <w:t>5. Principi generali per i diritti della persona handicappata.</w:t>
      </w:r>
      <w:r w:rsidRPr="00DE336C">
        <w:rPr>
          <w:rFonts w:ascii="Verdana" w:eastAsia="Times New Roman" w:hAnsi="Verdana" w:cs="Times New Roman"/>
          <w:color w:val="1D1D1D"/>
          <w:sz w:val="19"/>
          <w:szCs w:val="19"/>
          <w:lang w:eastAsia="it-IT"/>
        </w:rPr>
        <w:t xml:space="preserve"> - 1. La rimozione delle cause invalidanti, la promozione dell'autonomia e la realizzazione dell'integrazione sociale sono perseguite attraverso i seguenti obiettivi:</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a) sviluppare la ricerca scientifica, genetica, </w:t>
      </w:r>
      <w:proofErr w:type="spellStart"/>
      <w:r w:rsidRPr="00DE336C">
        <w:rPr>
          <w:rFonts w:ascii="Verdana" w:eastAsia="Times New Roman" w:hAnsi="Verdana" w:cs="Times New Roman"/>
          <w:color w:val="1D1D1D"/>
          <w:sz w:val="19"/>
          <w:szCs w:val="19"/>
          <w:lang w:eastAsia="it-IT"/>
        </w:rPr>
        <w:t>biomedia</w:t>
      </w:r>
      <w:proofErr w:type="spellEnd"/>
      <w:r w:rsidRPr="00DE336C">
        <w:rPr>
          <w:rFonts w:ascii="Verdana" w:eastAsia="Times New Roman" w:hAnsi="Verdana" w:cs="Times New Roman"/>
          <w:color w:val="1D1D1D"/>
          <w:sz w:val="19"/>
          <w:szCs w:val="19"/>
          <w:lang w:eastAsia="it-IT"/>
        </w:rPr>
        <w:t>, psicopedagogica, sociale e tecnologica anche mediante programmi finalizzati concordati con istituzioni pubbliche e private, in particolare con le sedi universitarie, con il Consiglio nazionale delle ricerche (CNR), con i servizi sanitari e sociali, considerando la persona handicappata e la sua famiglia, se coinvolti, soggetti partecipi e consapevoli della ricerca;</w:t>
      </w:r>
      <w:r w:rsidRPr="00DE336C">
        <w:rPr>
          <w:rFonts w:ascii="Verdana" w:eastAsia="Times New Roman" w:hAnsi="Verdana" w:cs="Times New Roman"/>
          <w:color w:val="1D1D1D"/>
          <w:sz w:val="19"/>
          <w:szCs w:val="19"/>
          <w:lang w:eastAsia="it-IT"/>
        </w:rPr>
        <w:br/>
        <w:t>b) assicurare la prevenzione, la diagnosi e la terapia prenatale e precoce delle minorazioni e la ricerca sistematica delle loro cause;</w:t>
      </w:r>
      <w:r w:rsidRPr="00DE336C">
        <w:rPr>
          <w:rFonts w:ascii="Verdana" w:eastAsia="Times New Roman" w:hAnsi="Verdana" w:cs="Times New Roman"/>
          <w:color w:val="1D1D1D"/>
          <w:sz w:val="19"/>
          <w:szCs w:val="19"/>
          <w:lang w:eastAsia="it-IT"/>
        </w:rPr>
        <w:br/>
        <w:t>c) garantire l'intervento tempestivo dei servizi terapeutici e riabilitativi, che assicuri il recupero consentito dalle conoscenze scientifiche e dalle tecniche attualmente disponibili, il mantenimento della persona handicappata nell'</w:t>
      </w:r>
      <w:proofErr w:type="spellStart"/>
      <w:r w:rsidRPr="00DE336C">
        <w:rPr>
          <w:rFonts w:ascii="Verdana" w:eastAsia="Times New Roman" w:hAnsi="Verdana" w:cs="Times New Roman"/>
          <w:color w:val="1D1D1D"/>
          <w:sz w:val="19"/>
          <w:szCs w:val="19"/>
          <w:lang w:eastAsia="it-IT"/>
        </w:rPr>
        <w:t>ambiete</w:t>
      </w:r>
      <w:proofErr w:type="spellEnd"/>
      <w:r w:rsidRPr="00DE336C">
        <w:rPr>
          <w:rFonts w:ascii="Verdana" w:eastAsia="Times New Roman" w:hAnsi="Verdana" w:cs="Times New Roman"/>
          <w:color w:val="1D1D1D"/>
          <w:sz w:val="19"/>
          <w:szCs w:val="19"/>
          <w:lang w:eastAsia="it-IT"/>
        </w:rPr>
        <w:t xml:space="preserve"> familiare e sociale, la sua integrazione e partecipazione alla vita sociale;</w:t>
      </w:r>
      <w:r w:rsidRPr="00DE336C">
        <w:rPr>
          <w:rFonts w:ascii="Verdana" w:eastAsia="Times New Roman" w:hAnsi="Verdana" w:cs="Times New Roman"/>
          <w:color w:val="1D1D1D"/>
          <w:sz w:val="19"/>
          <w:szCs w:val="19"/>
          <w:lang w:eastAsia="it-IT"/>
        </w:rPr>
        <w:br/>
        <w:t>d) assicurare alla famiglia della persona handicappata un'informazione di carattere sanitario e sociale per facilitare la comprensione dell'evento, anche in relazione alle possibilità di recupero e di integrazione della persona handicappata nella società;</w:t>
      </w:r>
      <w:r w:rsidRPr="00DE336C">
        <w:rPr>
          <w:rFonts w:ascii="Verdana" w:eastAsia="Times New Roman" w:hAnsi="Verdana" w:cs="Times New Roman"/>
          <w:color w:val="1D1D1D"/>
          <w:sz w:val="19"/>
          <w:szCs w:val="19"/>
          <w:lang w:eastAsia="it-IT"/>
        </w:rPr>
        <w:br/>
        <w:t>e) assicurare nella scelta e nell'attuazione degli interventi socio-sanitari la collaborazione della famiglia, della comunità e della persona handicappata, attivandone le potenziali capacità;</w:t>
      </w:r>
      <w:r w:rsidRPr="00DE336C">
        <w:rPr>
          <w:rFonts w:ascii="Verdana" w:eastAsia="Times New Roman" w:hAnsi="Verdana" w:cs="Times New Roman"/>
          <w:color w:val="1D1D1D"/>
          <w:sz w:val="19"/>
          <w:szCs w:val="19"/>
          <w:lang w:eastAsia="it-IT"/>
        </w:rPr>
        <w:br/>
        <w:t>f) assicurare la prevenzione primaria e secondaria in tutte le fasi di maturazione e di sviluppo del bambino e del soggetto minore per evitare o constatare tempestivamente l'insorgenza della minorazione o per ridurre e superare i danni della minorazione sopraggiunta;</w:t>
      </w:r>
      <w:r w:rsidRPr="00DE336C">
        <w:rPr>
          <w:rFonts w:ascii="Verdana" w:eastAsia="Times New Roman" w:hAnsi="Verdana" w:cs="Times New Roman"/>
          <w:color w:val="1D1D1D"/>
          <w:sz w:val="19"/>
          <w:szCs w:val="19"/>
          <w:lang w:eastAsia="it-IT"/>
        </w:rPr>
        <w:br/>
        <w:t xml:space="preserve">g) attuare il decentramento territoriale dei servizi e degli interventi rivolti alla prevenzione, al sostegno e al recupero della persona handicappata, assicurando il coordinamento e l'integrazione con gli altri servizi territoriali sulla base degli accordi di programma di cui all'articolo 27 della </w:t>
      </w:r>
      <w:hyperlink r:id="rId9" w:anchor="a27" w:history="1">
        <w:r w:rsidRPr="00DE336C">
          <w:rPr>
            <w:rFonts w:ascii="Verdana" w:eastAsia="Times New Roman" w:hAnsi="Verdana" w:cs="Times New Roman"/>
            <w:color w:val="761633"/>
            <w:sz w:val="19"/>
            <w:szCs w:val="19"/>
            <w:u w:val="single"/>
            <w:lang w:eastAsia="it-IT"/>
          </w:rPr>
          <w:t xml:space="preserve">legge </w:t>
        </w:r>
        <w:r w:rsidRPr="00DE336C">
          <w:rPr>
            <w:rFonts w:ascii="Verdana" w:eastAsia="Times New Roman" w:hAnsi="Verdana" w:cs="Times New Roman"/>
            <w:color w:val="761633"/>
            <w:sz w:val="19"/>
            <w:szCs w:val="19"/>
            <w:u w:val="single"/>
            <w:lang w:eastAsia="it-IT"/>
          </w:rPr>
          <w:lastRenderedPageBreak/>
          <w:t>8 giugno 1990, n. 142</w:t>
        </w:r>
      </w:hyperlink>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color w:val="1D1D1D"/>
          <w:sz w:val="19"/>
          <w:szCs w:val="19"/>
          <w:lang w:eastAsia="it-IT"/>
        </w:rPr>
        <w:br/>
        <w:t>h) garantire alla persona handicappata e alla famiglia adeguato sostegno psicologico e psicopedagogico, servizi di aiuto personale o familiare, strumenti e sussidi tecnici, prevedendo, nei casi strettamente necessari e per il periodo indispensabile, interventi economici integrativi per il raggiungimento degli obiettivi di cui al presente articolo;</w:t>
      </w:r>
      <w:r w:rsidRPr="00DE336C">
        <w:rPr>
          <w:rFonts w:ascii="Verdana" w:eastAsia="Times New Roman" w:hAnsi="Verdana" w:cs="Times New Roman"/>
          <w:color w:val="1D1D1D"/>
          <w:sz w:val="19"/>
          <w:szCs w:val="19"/>
          <w:lang w:eastAsia="it-IT"/>
        </w:rPr>
        <w:br/>
        <w:t>i) promuovere, anche attraverso l'apporto di enti e di associazioni, iniziative permanenti di informazione e di partecipazione della popolazione, per la prevenzione e per la cura degli handicap, la riabilitazione e l'inserimento sociale di chi ne è colpito;</w:t>
      </w:r>
      <w:r w:rsidRPr="00DE336C">
        <w:rPr>
          <w:rFonts w:ascii="Verdana" w:eastAsia="Times New Roman" w:hAnsi="Verdana" w:cs="Times New Roman"/>
          <w:color w:val="1D1D1D"/>
          <w:sz w:val="19"/>
          <w:szCs w:val="19"/>
          <w:lang w:eastAsia="it-IT"/>
        </w:rPr>
        <w:br/>
        <w:t>l) garantire il diritto alla scelta dei servizi ritenuti più idonei anche al di fuori della circoscrizione territoriale;</w:t>
      </w:r>
      <w:r w:rsidRPr="00DE336C">
        <w:rPr>
          <w:rFonts w:ascii="Verdana" w:eastAsia="Times New Roman" w:hAnsi="Verdana" w:cs="Times New Roman"/>
          <w:color w:val="1D1D1D"/>
          <w:sz w:val="19"/>
          <w:szCs w:val="19"/>
          <w:lang w:eastAsia="it-IT"/>
        </w:rPr>
        <w:br/>
        <w:t>m) promuovere il superamento di ogni forma di emarginazione e di esclusione sociale anche mediante l'attivazione dei servizi previsti dalla presente legge.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5" w:name="a6"/>
      <w:bookmarkEnd w:id="5"/>
      <w:r w:rsidRPr="00DE336C">
        <w:rPr>
          <w:rFonts w:ascii="Verdana" w:eastAsia="Times New Roman" w:hAnsi="Verdana" w:cs="Times New Roman"/>
          <w:b/>
          <w:bCs/>
          <w:color w:val="1D1D1D"/>
          <w:sz w:val="19"/>
          <w:szCs w:val="19"/>
          <w:lang w:eastAsia="it-IT"/>
        </w:rPr>
        <w:t>6. Prevenzione e diagnosi precoce.</w:t>
      </w:r>
      <w:r w:rsidRPr="00DE336C">
        <w:rPr>
          <w:rFonts w:ascii="Verdana" w:eastAsia="Times New Roman" w:hAnsi="Verdana" w:cs="Times New Roman"/>
          <w:color w:val="1D1D1D"/>
          <w:sz w:val="19"/>
          <w:szCs w:val="19"/>
          <w:lang w:eastAsia="it-IT"/>
        </w:rPr>
        <w:t xml:space="preserve"> - 1. Gli interventi per la prevenzione e la diagnosi prenatale e precoce delle minorazioni si attuano nel quadro della programmazione sanitaria di cui agli articoli 53 e 55 della </w:t>
      </w:r>
      <w:hyperlink r:id="rId10" w:anchor="a53"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xml:space="preserve"> , e successive modificazioni.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Le regioni, conformemente alle competenze e alle attribuzioni di cui alla </w:t>
      </w:r>
      <w:hyperlink r:id="rId11" w:history="1">
        <w:r w:rsidRPr="00DE336C">
          <w:rPr>
            <w:rFonts w:ascii="Verdana" w:eastAsia="Times New Roman" w:hAnsi="Verdana" w:cs="Times New Roman"/>
            <w:color w:val="761633"/>
            <w:sz w:val="19"/>
            <w:szCs w:val="19"/>
            <w:u w:val="single"/>
            <w:lang w:eastAsia="it-IT"/>
          </w:rPr>
          <w:t>legge 8 giugno 1990, n. 142</w:t>
        </w:r>
      </w:hyperlink>
      <w:r w:rsidRPr="00DE336C">
        <w:rPr>
          <w:rFonts w:ascii="Verdana" w:eastAsia="Times New Roman" w:hAnsi="Verdana" w:cs="Times New Roman"/>
          <w:color w:val="1D1D1D"/>
          <w:sz w:val="19"/>
          <w:szCs w:val="19"/>
          <w:lang w:eastAsia="it-IT"/>
        </w:rPr>
        <w:t xml:space="preserve"> , e alla legge 23 dicembre 1978, n. 833 , e successive modificazioni, disciplinano entro sei mesi dalla data di entrata in vigore della presente legge: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a) l'informazione e l'educazione sanitaria della popolazione sulle cause e sulle conseguenze dell'handicap, nonché sulla prevenzione in fase </w:t>
      </w:r>
      <w:proofErr w:type="spellStart"/>
      <w:r w:rsidRPr="00DE336C">
        <w:rPr>
          <w:rFonts w:ascii="Verdana" w:eastAsia="Times New Roman" w:hAnsi="Verdana" w:cs="Times New Roman"/>
          <w:color w:val="1D1D1D"/>
          <w:sz w:val="19"/>
          <w:szCs w:val="19"/>
          <w:lang w:eastAsia="it-IT"/>
        </w:rPr>
        <w:t>preconcezionale</w:t>
      </w:r>
      <w:proofErr w:type="spellEnd"/>
      <w:r w:rsidRPr="00DE336C">
        <w:rPr>
          <w:rFonts w:ascii="Verdana" w:eastAsia="Times New Roman" w:hAnsi="Verdana" w:cs="Times New Roman"/>
          <w:color w:val="1D1D1D"/>
          <w:sz w:val="19"/>
          <w:szCs w:val="19"/>
          <w:lang w:eastAsia="it-IT"/>
        </w:rPr>
        <w:t>, durante la gravidanza, il parto, il periodo neonatale e nelle varie fasi di sviluppo della vita, e sui servizi che svolgono tali funzioni;</w:t>
      </w:r>
      <w:r w:rsidRPr="00DE336C">
        <w:rPr>
          <w:rFonts w:ascii="Verdana" w:eastAsia="Times New Roman" w:hAnsi="Verdana" w:cs="Times New Roman"/>
          <w:color w:val="1D1D1D"/>
          <w:sz w:val="19"/>
          <w:szCs w:val="19"/>
          <w:lang w:eastAsia="it-IT"/>
        </w:rPr>
        <w:br/>
        <w:t>b) l'effettuazione del parto con particolare rispetto dei ritmi e dei bisogni naturali della partoriente e del nascituro;</w:t>
      </w:r>
      <w:r w:rsidRPr="00DE336C">
        <w:rPr>
          <w:rFonts w:ascii="Verdana" w:eastAsia="Times New Roman" w:hAnsi="Verdana" w:cs="Times New Roman"/>
          <w:color w:val="1D1D1D"/>
          <w:sz w:val="19"/>
          <w:szCs w:val="19"/>
          <w:lang w:eastAsia="it-IT"/>
        </w:rPr>
        <w:br/>
        <w:t>c) l'individuazione e la rimozione, negli ambienti di vita e di lavoro, dei fattori di rischio che possono determinare malformazioni congenite e patologie invalidanti;</w:t>
      </w:r>
      <w:r w:rsidRPr="00DE336C">
        <w:rPr>
          <w:rFonts w:ascii="Verdana" w:eastAsia="Times New Roman" w:hAnsi="Verdana" w:cs="Times New Roman"/>
          <w:color w:val="1D1D1D"/>
          <w:sz w:val="19"/>
          <w:szCs w:val="19"/>
          <w:lang w:eastAsia="it-IT"/>
        </w:rPr>
        <w:br/>
        <w:t xml:space="preserve">d) i servizi per la consulenza genetica e la diagnosi prenatale e precoce per la prevenzione delle malattie genetiche che possono essere causa di handicap fisici, psichici, sensoriali di </w:t>
      </w:r>
      <w:proofErr w:type="spellStart"/>
      <w:r w:rsidRPr="00DE336C">
        <w:rPr>
          <w:rFonts w:ascii="Verdana" w:eastAsia="Times New Roman" w:hAnsi="Verdana" w:cs="Times New Roman"/>
          <w:color w:val="1D1D1D"/>
          <w:sz w:val="19"/>
          <w:szCs w:val="19"/>
          <w:lang w:eastAsia="it-IT"/>
        </w:rPr>
        <w:t>neuromotulesioni</w:t>
      </w:r>
      <w:proofErr w:type="spellEnd"/>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color w:val="1D1D1D"/>
          <w:sz w:val="19"/>
          <w:szCs w:val="19"/>
          <w:lang w:eastAsia="it-IT"/>
        </w:rPr>
        <w:br/>
        <w:t>e) il controllo periodico della gravidanza per la individuazione e la terapia di eventuali patologie complicanti la gravidanza e la prevenzione delle loro conseguenze;</w:t>
      </w:r>
      <w:r w:rsidRPr="00DE336C">
        <w:rPr>
          <w:rFonts w:ascii="Verdana" w:eastAsia="Times New Roman" w:hAnsi="Verdana" w:cs="Times New Roman"/>
          <w:color w:val="1D1D1D"/>
          <w:sz w:val="19"/>
          <w:szCs w:val="19"/>
          <w:lang w:eastAsia="it-IT"/>
        </w:rPr>
        <w:br/>
        <w:t>f) l'assistenza intensiva per la gravidanza, i parti e le nascite a rischio;</w:t>
      </w:r>
      <w:r w:rsidRPr="00DE336C">
        <w:rPr>
          <w:rFonts w:ascii="Verdana" w:eastAsia="Times New Roman" w:hAnsi="Verdana" w:cs="Times New Roman"/>
          <w:color w:val="1D1D1D"/>
          <w:sz w:val="19"/>
          <w:szCs w:val="19"/>
          <w:lang w:eastAsia="it-IT"/>
        </w:rPr>
        <w:br/>
        <w:t xml:space="preserve">g) nel periodo neonatale, gli accertamenti utili alla diagnosi precoce delle malformazioni e l'obbligatorietà del controllo per l'individuazione ed il tempestivo trattamento dell'ipotiroidismo congenito, della fenilchetonuria e della fibrosi cistica. Le modalità dei controlli e della loro applicazione sono disciplinate con atti di indirizzo e coordinamento emanati ai sensi dell'articolo 5, primo comma, della </w:t>
      </w:r>
      <w:hyperlink r:id="rId12" w:anchor="a5"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xml:space="preserve"> . Con tali atti possono essere individuate altre forme di </w:t>
      </w:r>
      <w:proofErr w:type="spellStart"/>
      <w:r w:rsidRPr="00DE336C">
        <w:rPr>
          <w:rFonts w:ascii="Verdana" w:eastAsia="Times New Roman" w:hAnsi="Verdana" w:cs="Times New Roman"/>
          <w:color w:val="1D1D1D"/>
          <w:sz w:val="19"/>
          <w:szCs w:val="19"/>
          <w:lang w:eastAsia="it-IT"/>
        </w:rPr>
        <w:t>endocrinopatie</w:t>
      </w:r>
      <w:proofErr w:type="spellEnd"/>
      <w:r w:rsidRPr="00DE336C">
        <w:rPr>
          <w:rFonts w:ascii="Verdana" w:eastAsia="Times New Roman" w:hAnsi="Verdana" w:cs="Times New Roman"/>
          <w:color w:val="1D1D1D"/>
          <w:sz w:val="19"/>
          <w:szCs w:val="19"/>
          <w:lang w:eastAsia="it-IT"/>
        </w:rPr>
        <w:t xml:space="preserve"> e di errori congeniti del metabolismo alle quali estendere l'indagine per </w:t>
      </w:r>
      <w:r w:rsidRPr="00DE336C">
        <w:rPr>
          <w:rFonts w:ascii="Verdana" w:eastAsia="Times New Roman" w:hAnsi="Verdana" w:cs="Times New Roman"/>
          <w:color w:val="1D1D1D"/>
          <w:sz w:val="19"/>
          <w:szCs w:val="19"/>
          <w:lang w:eastAsia="it-IT"/>
        </w:rPr>
        <w:lastRenderedPageBreak/>
        <w:t>tutta la popolazione neonatale;</w:t>
      </w:r>
      <w:r w:rsidRPr="00DE336C">
        <w:rPr>
          <w:rFonts w:ascii="Verdana" w:eastAsia="Times New Roman" w:hAnsi="Verdana" w:cs="Times New Roman"/>
          <w:color w:val="1D1D1D"/>
          <w:sz w:val="19"/>
          <w:szCs w:val="19"/>
          <w:lang w:eastAsia="it-IT"/>
        </w:rPr>
        <w:br/>
        <w:t xml:space="preserve">h) un'attività di prevenzione permanente che tuteli i bambini fin dalla nascita anche mediante il coordinamento con gli operatori degli asili nido, delle scuole materne e dell'obbligo, per accertare l'inesistenza o l'insorgenza di patologie e di cause invalidanti e con controlli sul bambino entro l'ottavo giorno, al trentesimo giorno, entro il sesto ed il nono mese di vita e ogni due anni dal compimento del primo anno di vita. E' istituito a tal fine un libretto sanitario personale, con le caratteristiche di cui all'articolo 27 della </w:t>
      </w:r>
      <w:hyperlink r:id="rId13" w:anchor="a27"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xml:space="preserve"> , su cui sono riportati i risultati dei suddetti controlli ed ogni altra notizia sanitaria utile a stabilire lo stato di salute del bambino;</w:t>
      </w:r>
      <w:r w:rsidRPr="00DE336C">
        <w:rPr>
          <w:rFonts w:ascii="Verdana" w:eastAsia="Times New Roman" w:hAnsi="Verdana" w:cs="Times New Roman"/>
          <w:color w:val="1D1D1D"/>
          <w:sz w:val="19"/>
          <w:szCs w:val="19"/>
          <w:lang w:eastAsia="it-IT"/>
        </w:rPr>
        <w:br/>
        <w:t>i) gli interventi informativi, educativi, di partecipazione e di controllo per eliminare la nocività ambientale e prevenire gli infortuni in ogni ambiente di vita e di lavoro, con particolare riferimento agli incidenti domestici. 3. Lo Stato promuove misure di profilassi atte a prevenire ogni forma di handicap, con particolare riguardo alla vaccinazione contro la rosolia.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6" w:name="a7"/>
      <w:bookmarkEnd w:id="6"/>
      <w:r w:rsidRPr="00DE336C">
        <w:rPr>
          <w:rFonts w:ascii="Verdana" w:eastAsia="Times New Roman" w:hAnsi="Verdana" w:cs="Times New Roman"/>
          <w:b/>
          <w:bCs/>
          <w:color w:val="1D1D1D"/>
          <w:sz w:val="19"/>
          <w:szCs w:val="19"/>
          <w:lang w:eastAsia="it-IT"/>
        </w:rPr>
        <w:t>7. Cura e riabilitazione.</w:t>
      </w:r>
      <w:r w:rsidRPr="00DE336C">
        <w:rPr>
          <w:rFonts w:ascii="Verdana" w:eastAsia="Times New Roman" w:hAnsi="Verdana" w:cs="Times New Roman"/>
          <w:color w:val="1D1D1D"/>
          <w:sz w:val="19"/>
          <w:szCs w:val="19"/>
          <w:lang w:eastAsia="it-IT"/>
        </w:rPr>
        <w:t xml:space="preserve"> - 1. La cura e la riabilitazione della persona handicappata si realizzano con programmi che prevedano prestazioni sanitarie e sociali integrate tra loro, che valorizzino le abilità di ogni persona handicappata e agiscano sulla globalità della situazione di handicap, coinvolgendo la famiglia e la comunità. A questo fine il Servizio sanitario nazionale, tramite le strutture proprie o convenzionate, assicura:</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gli interventi per la cura e la riabilitazione precoce della persona handicappata, nonché gli specifici interventi riabilitativi e ambulatoriali, a domicilio o presso i centri socio-riabilitativi ed educativi a carattere diurno o residenziale di cui all'articolo 8, comma 1, lettera l);</w:t>
      </w:r>
      <w:r w:rsidRPr="00DE336C">
        <w:rPr>
          <w:rFonts w:ascii="Verdana" w:eastAsia="Times New Roman" w:hAnsi="Verdana" w:cs="Times New Roman"/>
          <w:color w:val="1D1D1D"/>
          <w:sz w:val="19"/>
          <w:szCs w:val="19"/>
          <w:lang w:eastAsia="it-IT"/>
        </w:rPr>
        <w:br/>
        <w:t>b) la fornitura e la riparazione di apparecchiature, attrezzature, protesi e sussidi tecnici necessari per il trattamento delle menomazioni. 2. Le regioni assicurano la completa e corretta informazione sui servizi ed ausili presenti sul territorio, in Italia e all'estero.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7" w:name="a8"/>
      <w:bookmarkEnd w:id="7"/>
      <w:r w:rsidRPr="00DE336C">
        <w:rPr>
          <w:rFonts w:ascii="Verdana" w:eastAsia="Times New Roman" w:hAnsi="Verdana" w:cs="Times New Roman"/>
          <w:b/>
          <w:bCs/>
          <w:color w:val="1D1D1D"/>
          <w:sz w:val="19"/>
          <w:szCs w:val="19"/>
          <w:lang w:eastAsia="it-IT"/>
        </w:rPr>
        <w:t>8. Inserimento ed integrazione sociale.</w:t>
      </w:r>
      <w:r w:rsidRPr="00DE336C">
        <w:rPr>
          <w:rFonts w:ascii="Verdana" w:eastAsia="Times New Roman" w:hAnsi="Verdana" w:cs="Times New Roman"/>
          <w:color w:val="1D1D1D"/>
          <w:sz w:val="19"/>
          <w:szCs w:val="19"/>
          <w:lang w:eastAsia="it-IT"/>
        </w:rPr>
        <w:t xml:space="preserve"> - 1. L'inserimento e l'integrazione sociale della persona handicappata si realizzano mediante: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interventi di carattere socio-psico-pedagogico, di assistenza sociale e sanitaria a domicilio, di aiuto domestico e di tipo economico ai sensi della normativa vigente, a sostegno della persona handicappata e del nucleo familiare in cui è inserita;</w:t>
      </w:r>
      <w:r w:rsidRPr="00DE336C">
        <w:rPr>
          <w:rFonts w:ascii="Verdana" w:eastAsia="Times New Roman" w:hAnsi="Verdana" w:cs="Times New Roman"/>
          <w:color w:val="1D1D1D"/>
          <w:sz w:val="19"/>
          <w:szCs w:val="19"/>
          <w:lang w:eastAsia="it-IT"/>
        </w:rPr>
        <w:br/>
        <w:t>b) servizi di aiuto personale alla persona handicappata in temporanea o permanente grave limitazione dell'autonomia personale;</w:t>
      </w:r>
      <w:r w:rsidRPr="00DE336C">
        <w:rPr>
          <w:rFonts w:ascii="Verdana" w:eastAsia="Times New Roman" w:hAnsi="Verdana" w:cs="Times New Roman"/>
          <w:color w:val="1D1D1D"/>
          <w:sz w:val="19"/>
          <w:szCs w:val="19"/>
          <w:lang w:eastAsia="it-IT"/>
        </w:rPr>
        <w:br/>
        <w:t>c) interventi diretti ad assicurare l'accesso agli edifici pubblici e privati e ad eliminare o superare le barriere fisiche e architettoniche che ostacolano i movimenti nei luoghi pubblici o aperti al pubblico;</w:t>
      </w:r>
      <w:r w:rsidRPr="00DE336C">
        <w:rPr>
          <w:rFonts w:ascii="Verdana" w:eastAsia="Times New Roman" w:hAnsi="Verdana" w:cs="Times New Roman"/>
          <w:color w:val="1D1D1D"/>
          <w:sz w:val="19"/>
          <w:szCs w:val="19"/>
          <w:lang w:eastAsia="it-IT"/>
        </w:rPr>
        <w:br/>
        <w:t>d) provvedimenti che rendano effettivi il diritto all'informazione e il diritto allo studio della persona handicappata, con particolare riferimento alle dotazioni didattiche e tecniche, ai programmi, a linguaggi specializzati, alle prove di valutazione e alla disponibilità di personale appositamente qualificato, docente e non docente;</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color w:val="1D1D1D"/>
          <w:sz w:val="19"/>
          <w:szCs w:val="19"/>
          <w:lang w:eastAsia="it-IT"/>
        </w:rPr>
        <w:lastRenderedPageBreak/>
        <w:t>e) adeguamento delle attrezzature e del personale dei servizi educativi, sportivi, di tempo libero e sociali;</w:t>
      </w:r>
      <w:r w:rsidRPr="00DE336C">
        <w:rPr>
          <w:rFonts w:ascii="Verdana" w:eastAsia="Times New Roman" w:hAnsi="Verdana" w:cs="Times New Roman"/>
          <w:color w:val="1D1D1D"/>
          <w:sz w:val="19"/>
          <w:szCs w:val="19"/>
          <w:lang w:eastAsia="it-IT"/>
        </w:rPr>
        <w:br/>
        <w:t>f) misure atte a favorire la piena integrazione nel mondo del lavoro, in forma individuale o associata, e la tutela del posto di lavoro anche attraverso incentivi diversificati;</w:t>
      </w:r>
      <w:r w:rsidRPr="00DE336C">
        <w:rPr>
          <w:rFonts w:ascii="Verdana" w:eastAsia="Times New Roman" w:hAnsi="Verdana" w:cs="Times New Roman"/>
          <w:color w:val="1D1D1D"/>
          <w:sz w:val="19"/>
          <w:szCs w:val="19"/>
          <w:lang w:eastAsia="it-IT"/>
        </w:rPr>
        <w:br/>
        <w:t>g) provvedimenti che assicurino la fruibilità dei mezzi di trasporto pubblico e privato e la organizzazione di trasporti specifici;</w:t>
      </w:r>
      <w:r w:rsidRPr="00DE336C">
        <w:rPr>
          <w:rFonts w:ascii="Verdana" w:eastAsia="Times New Roman" w:hAnsi="Verdana" w:cs="Times New Roman"/>
          <w:color w:val="1D1D1D"/>
          <w:sz w:val="19"/>
          <w:szCs w:val="19"/>
          <w:lang w:eastAsia="it-IT"/>
        </w:rPr>
        <w:br/>
        <w:t>h) affidamenti e inserimenti presso persone e nuclei familiari;</w:t>
      </w:r>
      <w:r w:rsidRPr="00DE336C">
        <w:rPr>
          <w:rFonts w:ascii="Verdana" w:eastAsia="Times New Roman" w:hAnsi="Verdana" w:cs="Times New Roman"/>
          <w:color w:val="1D1D1D"/>
          <w:sz w:val="19"/>
          <w:szCs w:val="19"/>
          <w:lang w:eastAsia="it-IT"/>
        </w:rPr>
        <w:br/>
        <w:t xml:space="preserve">i) organizzazione e sostegno di comunità alloggio, case-famiglia e analoghi servizi residenziali inseriti nei centri abitati per favorire la </w:t>
      </w:r>
      <w:proofErr w:type="spellStart"/>
      <w:r w:rsidRPr="00DE336C">
        <w:rPr>
          <w:rFonts w:ascii="Verdana" w:eastAsia="Times New Roman" w:hAnsi="Verdana" w:cs="Times New Roman"/>
          <w:color w:val="1D1D1D"/>
          <w:sz w:val="19"/>
          <w:szCs w:val="19"/>
          <w:lang w:eastAsia="it-IT"/>
        </w:rPr>
        <w:t>deistituzionalizzazione</w:t>
      </w:r>
      <w:proofErr w:type="spellEnd"/>
      <w:r w:rsidRPr="00DE336C">
        <w:rPr>
          <w:rFonts w:ascii="Verdana" w:eastAsia="Times New Roman" w:hAnsi="Verdana" w:cs="Times New Roman"/>
          <w:color w:val="1D1D1D"/>
          <w:sz w:val="19"/>
          <w:szCs w:val="19"/>
          <w:lang w:eastAsia="it-IT"/>
        </w:rPr>
        <w:t xml:space="preserve"> e per assicurare alla persona handicappata, priva anche temporaneamente di una idonea sistemazione familiare, naturale o affidataria, un ambiente di vita adeguato;</w:t>
      </w:r>
      <w:r w:rsidRPr="00DE336C">
        <w:rPr>
          <w:rFonts w:ascii="Verdana" w:eastAsia="Times New Roman" w:hAnsi="Verdana" w:cs="Times New Roman"/>
          <w:color w:val="1D1D1D"/>
          <w:sz w:val="19"/>
          <w:szCs w:val="19"/>
          <w:lang w:eastAsia="it-IT"/>
        </w:rPr>
        <w:br/>
        <w:t xml:space="preserve">l) istituzione o adattamento di centri </w:t>
      </w:r>
      <w:proofErr w:type="spellStart"/>
      <w:r w:rsidRPr="00DE336C">
        <w:rPr>
          <w:rFonts w:ascii="Verdana" w:eastAsia="Times New Roman" w:hAnsi="Verdana" w:cs="Times New Roman"/>
          <w:color w:val="1D1D1D"/>
          <w:sz w:val="19"/>
          <w:szCs w:val="19"/>
          <w:lang w:eastAsia="it-IT"/>
        </w:rPr>
        <w:t>socioriabilitativi</w:t>
      </w:r>
      <w:proofErr w:type="spellEnd"/>
      <w:r w:rsidRPr="00DE336C">
        <w:rPr>
          <w:rFonts w:ascii="Verdana" w:eastAsia="Times New Roman" w:hAnsi="Verdana" w:cs="Times New Roman"/>
          <w:color w:val="1D1D1D"/>
          <w:sz w:val="19"/>
          <w:szCs w:val="19"/>
          <w:lang w:eastAsia="it-IT"/>
        </w:rPr>
        <w:t xml:space="preserve"> ed educativi diurni, a valenza educativa, che perseguano lo scopo di rendere possibile una vita di relazione a persone temporaneamente o permanentemente handicappate, che abbiano assolto l'obbligo scolastico, e le cui verificate potenzialità residue non consentano idonee forme di integrazione lavorativa. Gli standard dei centri socio-riabilitativi sono definiti dal Ministro della sanità, di concerto con il Ministro per gli affari sociali, sentita la Conferenza permanente per i rapporti tra lo Stato, le regioni e le province autonome di Trento e di Bolzano di cui all'articolo 12 della legge 23 agosto 1988, n. 400;</w:t>
      </w:r>
      <w:r w:rsidRPr="00DE336C">
        <w:rPr>
          <w:rFonts w:ascii="Verdana" w:eastAsia="Times New Roman" w:hAnsi="Verdana" w:cs="Times New Roman"/>
          <w:color w:val="1D1D1D"/>
          <w:sz w:val="19"/>
          <w:szCs w:val="19"/>
          <w:lang w:eastAsia="it-IT"/>
        </w:rPr>
        <w:br/>
        <w:t>m) organizzazione di attività extrascolastiche per integrare ed estendere l'attività educativa in continuità ed in coerenza con l'azione della scuola.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8" w:name="a9"/>
      <w:bookmarkEnd w:id="8"/>
      <w:r w:rsidRPr="00DE336C">
        <w:rPr>
          <w:rFonts w:ascii="Verdana" w:eastAsia="Times New Roman" w:hAnsi="Verdana" w:cs="Times New Roman"/>
          <w:b/>
          <w:bCs/>
          <w:color w:val="1D1D1D"/>
          <w:sz w:val="19"/>
          <w:szCs w:val="19"/>
          <w:lang w:eastAsia="it-IT"/>
        </w:rPr>
        <w:t>9. Servizio di aiuto personale.</w:t>
      </w:r>
      <w:r w:rsidRPr="00DE336C">
        <w:rPr>
          <w:rFonts w:ascii="Verdana" w:eastAsia="Times New Roman" w:hAnsi="Verdana" w:cs="Times New Roman"/>
          <w:color w:val="1D1D1D"/>
          <w:sz w:val="19"/>
          <w:szCs w:val="19"/>
          <w:lang w:eastAsia="it-IT"/>
        </w:rPr>
        <w:t xml:space="preserve"> - 1. Il servizio di aiuto personale, che può essere istituito dai comuni o dalle unità sanitarie locali nei limiti delle proprie ordinarie risorse di bilancio, è diretto ai cittadini in temporanea o permanente grave limitazione dell'autonomia personale non superabile attraverso la fornitura di sussidi tecnici, informatici, protesi o altre forme di sostegno rivolte a facilitare l'autosufficienza e le possibilità di integrazione dei cittadini stessi, e comprende il servizio di interpretariato per i cittadini non udenti.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Il servizio di aiuto personale è integrato con gli altri servizi sanitari e socio-assistenziali esistenti sul territorio e può avvalersi dell'opera aggiuntiva di:</w:t>
      </w:r>
      <w:r w:rsidRPr="00DE336C">
        <w:rPr>
          <w:rFonts w:ascii="Verdana" w:eastAsia="Times New Roman" w:hAnsi="Verdana" w:cs="Times New Roman"/>
          <w:color w:val="1D1D1D"/>
          <w:sz w:val="19"/>
          <w:szCs w:val="19"/>
          <w:lang w:eastAsia="it-IT"/>
        </w:rPr>
        <w:br/>
        <w:t>a) coloro che hanno ottenuto il riconoscimento dell'obiezione di coscienza ai sensi della normativa vigente, che ne facciano richiesta;</w:t>
      </w:r>
      <w:r w:rsidRPr="00DE336C">
        <w:rPr>
          <w:rFonts w:ascii="Verdana" w:eastAsia="Times New Roman" w:hAnsi="Verdana" w:cs="Times New Roman"/>
          <w:color w:val="1D1D1D"/>
          <w:sz w:val="19"/>
          <w:szCs w:val="19"/>
          <w:lang w:eastAsia="it-IT"/>
        </w:rPr>
        <w:br/>
        <w:t>b) cittadini di età superiore ai diciotto anni che facciano richiesta di prestare attività volontaria; c) organizzazioni di volontariato.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Il personale indicato alle lettere a), b), c) del comma 2 deve avere una formazione specifica.</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4. Al personale di cui alla lettera b) del comma 2 si estende la disciplina dettata dall'articolo 2, comma 2, della </w:t>
      </w:r>
      <w:hyperlink r:id="rId14" w:anchor="a2" w:history="1">
        <w:r w:rsidRPr="00DE336C">
          <w:rPr>
            <w:rFonts w:ascii="Verdana" w:eastAsia="Times New Roman" w:hAnsi="Verdana" w:cs="Times New Roman"/>
            <w:color w:val="761633"/>
            <w:sz w:val="19"/>
            <w:szCs w:val="19"/>
            <w:u w:val="single"/>
            <w:lang w:eastAsia="it-IT"/>
          </w:rPr>
          <w:t>legge 11 agosto 1991, n. 266</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9" w:name="a10"/>
      <w:bookmarkEnd w:id="9"/>
      <w:r w:rsidRPr="00DE336C">
        <w:rPr>
          <w:rFonts w:ascii="Verdana" w:eastAsia="Times New Roman" w:hAnsi="Verdana" w:cs="Times New Roman"/>
          <w:b/>
          <w:bCs/>
          <w:color w:val="1D1D1D"/>
          <w:sz w:val="19"/>
          <w:szCs w:val="19"/>
          <w:lang w:eastAsia="it-IT"/>
        </w:rPr>
        <w:lastRenderedPageBreak/>
        <w:t>10. Interventi a favore di persone con handicap in situazione di gravità.</w:t>
      </w:r>
      <w:r w:rsidRPr="00DE336C">
        <w:rPr>
          <w:rFonts w:ascii="Verdana" w:eastAsia="Times New Roman" w:hAnsi="Verdana" w:cs="Times New Roman"/>
          <w:color w:val="1D1D1D"/>
          <w:sz w:val="19"/>
          <w:szCs w:val="19"/>
          <w:lang w:eastAsia="it-IT"/>
        </w:rPr>
        <w:t xml:space="preserve"> - 1. I comuni, anche consorziati tra loro o con le province, le loro unioni, le comunità montane e le unità sanitarie locali, nell'ambito delle competenze in materia di servizi sociali loro attribuite </w:t>
      </w:r>
      <w:hyperlink r:id="rId15" w:history="1">
        <w:r w:rsidRPr="00DE336C">
          <w:rPr>
            <w:rFonts w:ascii="Verdana" w:eastAsia="Times New Roman" w:hAnsi="Verdana" w:cs="Times New Roman"/>
            <w:color w:val="761633"/>
            <w:sz w:val="19"/>
            <w:szCs w:val="19"/>
            <w:u w:val="single"/>
            <w:lang w:eastAsia="it-IT"/>
          </w:rPr>
          <w:t>dalla legge 8 giugno 1990, n. 142</w:t>
        </w:r>
      </w:hyperlink>
      <w:r w:rsidRPr="00DE336C">
        <w:rPr>
          <w:rFonts w:ascii="Verdana" w:eastAsia="Times New Roman" w:hAnsi="Verdana" w:cs="Times New Roman"/>
          <w:color w:val="1D1D1D"/>
          <w:sz w:val="19"/>
          <w:szCs w:val="19"/>
          <w:lang w:eastAsia="it-IT"/>
        </w:rPr>
        <w:t xml:space="preserve"> , possono realizzare con le proprie ordinarie risorse di bilancio, assicurando comunque il diritto alla integrazione sociale e scolastica secondo le modalità stabilite dalla presente legge e nel rispetto delle priorità degli interventi di cui alla legge 4 maggio 1983, n. 184, comunità-alloggio e centri </w:t>
      </w:r>
      <w:proofErr w:type="spellStart"/>
      <w:r w:rsidRPr="00DE336C">
        <w:rPr>
          <w:rFonts w:ascii="Verdana" w:eastAsia="Times New Roman" w:hAnsi="Verdana" w:cs="Times New Roman"/>
          <w:color w:val="1D1D1D"/>
          <w:sz w:val="19"/>
          <w:szCs w:val="19"/>
          <w:lang w:eastAsia="it-IT"/>
        </w:rPr>
        <w:t>socioriabilitativi</w:t>
      </w:r>
      <w:proofErr w:type="spellEnd"/>
      <w:r w:rsidRPr="00DE336C">
        <w:rPr>
          <w:rFonts w:ascii="Verdana" w:eastAsia="Times New Roman" w:hAnsi="Verdana" w:cs="Times New Roman"/>
          <w:color w:val="1D1D1D"/>
          <w:sz w:val="19"/>
          <w:szCs w:val="19"/>
          <w:lang w:eastAsia="it-IT"/>
        </w:rPr>
        <w:t xml:space="preserve"> per persone con handicap in situazione di gravità.</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1-bis. Gli enti di cui al comma 1 possono organizzare servizi e prestazioni per la tutela e l'integrazione sociale dei soggetti di cui al presente articolo per i quali venga meno il sostegno del nucleo familiare. </w:t>
      </w:r>
      <w:r w:rsidRPr="00DE336C">
        <w:rPr>
          <w:rFonts w:ascii="Verdana" w:eastAsia="Times New Roman" w:hAnsi="Verdana" w:cs="Times New Roman"/>
          <w:i/>
          <w:iCs/>
          <w:color w:val="1D1D1D"/>
          <w:sz w:val="19"/>
          <w:szCs w:val="19"/>
          <w:lang w:eastAsia="it-IT"/>
        </w:rPr>
        <w:t>(1)</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Le strutture di cui alla lettera l) e le attività di cui alla lettera m) del comma 1 dell'articolo 8 sono realizzate d'intesa con il gruppo di lavoro per l'integrazione scolastica di cui all'articolo 15 e con gli organi collegiali della scuola.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Gli enti di cui al comma 1 possono contribuire, mediante appositi finanziamenti, previo parere della regione sulla congruità dell'iniziativa rispetto ai programmi regionali, alla realizzazione e al sostegno di comunità-alloggio e centri socio-riabilitativi per persone handicappate in situazione di gravità, promossi da enti, associazioni, fondazioni, Istituzioni pubbliche di assistenza e beneficienza (IPAB), società cooperative e organizzazioni di volontariato iscritte negli albi regionali.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Gli interventi di cui ai commi 1 e 3 del presente articolo possono essere realizzati anche mediante le convenzioni di cui all'articolo 38.</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Per la collocazione topografica, l'organizzazione e il funzionamento, le comunità-alloggio e i centri socio-riabilitativi devono essere idonei a perseguire una costante socializzazione dei soggetti ospiti, anche mediante iniziative dirette a coinvolgere i servizi pubblici e il volontariato.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L'approvazione dei progetti edilizi presentati da soggetti pubblici o privati concernenti immobili da destinare alle comunità-alloggio ed ai centri socio-riabilitativi di cui ai commi 1 e 3, con vincolo di destinazione almeno ventennale all'uso effettivo dell'immobile per gli scopi di cui alla presente legge, ove localizzati in aree vincolate o a diversa specifica destinazione, fatte salve le norme previste dalla legge 29 giugno 1939, n. 1497, e successive modificazioni, e dal decreto-legge 27 giugno 1985, n. 312, convertito, con modificazioni, dalla legge 8 agosto 1985, n. 431, costituisce variante del piano regolatore. Il venir meno dell'uso effettivo per gli scopi di cui alla presente legge prima del ventesimo anno comporta il ripristino della originaria destinazione urbanistica dell'area.</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i/>
          <w:iCs/>
          <w:color w:val="1D1D1D"/>
          <w:sz w:val="19"/>
          <w:szCs w:val="19"/>
          <w:lang w:eastAsia="it-IT"/>
        </w:rPr>
        <w:t>(1) comma aggiunto dal primo articolo dalla legge 21 maggio 1998, n. 162</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0" w:name="a11"/>
      <w:bookmarkEnd w:id="10"/>
      <w:r w:rsidRPr="00DE336C">
        <w:rPr>
          <w:rFonts w:ascii="Verdana" w:eastAsia="Times New Roman" w:hAnsi="Verdana" w:cs="Times New Roman"/>
          <w:b/>
          <w:bCs/>
          <w:color w:val="1D1D1D"/>
          <w:sz w:val="19"/>
          <w:szCs w:val="19"/>
          <w:lang w:eastAsia="it-IT"/>
        </w:rPr>
        <w:lastRenderedPageBreak/>
        <w:t>11. Soggiorno all'estero per cure.</w:t>
      </w:r>
      <w:r w:rsidRPr="00DE336C">
        <w:rPr>
          <w:rFonts w:ascii="Verdana" w:eastAsia="Times New Roman" w:hAnsi="Verdana" w:cs="Times New Roman"/>
          <w:color w:val="1D1D1D"/>
          <w:sz w:val="19"/>
          <w:szCs w:val="19"/>
          <w:lang w:eastAsia="it-IT"/>
        </w:rPr>
        <w:t xml:space="preserve"> - 1. Nei casi in cui vengano concesse le deroghe di cui all'articolo 7 del decreto del Ministro della sanità 3 novembre 1989, pubblicato nella Gazzetta Ufficiale n. 273 del 22 novembre 1989, ove nel centro di altissima specializzazione estero non sia previsto il ricovero ospedaliero per tutta la durata degli interventi autorizzati, il soggiorno dell'assistito e del suo accompagnatore in alberghi o strutture collegate con il centro è equiparato a tutti gli effetti alla degenza ospedaliera ed è rimborsabile nella misura prevista dalla deroga.</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La commissione centrale presso il Ministero della sanità di cui all'articolo 8 del </w:t>
      </w:r>
      <w:hyperlink r:id="rId16" w:anchor="a8" w:history="1">
        <w:r w:rsidRPr="00DE336C">
          <w:rPr>
            <w:rFonts w:ascii="Verdana" w:eastAsia="Times New Roman" w:hAnsi="Verdana" w:cs="Times New Roman"/>
            <w:color w:val="761633"/>
            <w:sz w:val="19"/>
            <w:szCs w:val="19"/>
            <w:u w:val="single"/>
            <w:lang w:eastAsia="it-IT"/>
          </w:rPr>
          <w:t>decreto del Ministro della sanità 3 novembre 1989</w:t>
        </w:r>
      </w:hyperlink>
      <w:r w:rsidRPr="00DE336C">
        <w:rPr>
          <w:rFonts w:ascii="Verdana" w:eastAsia="Times New Roman" w:hAnsi="Verdana" w:cs="Times New Roman"/>
          <w:color w:val="1D1D1D"/>
          <w:sz w:val="19"/>
          <w:szCs w:val="19"/>
          <w:lang w:eastAsia="it-IT"/>
        </w:rPr>
        <w:t xml:space="preserve">, pubblicato nella Gazzetta Ufficiale n. 273 del 22 novembre 1989, esprime il parere sul rimborso per i soggiorni collegati agli interventi autorizzati dalle regioni sulla base di criteri fissati con atto di indirizzo e coordinamento emanato ai sensi dell'articolo 5, primo comma, della </w:t>
      </w:r>
      <w:hyperlink r:id="rId17" w:anchor="a5"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con il quale sono disciplinate anche le modalità della corresponsione di acconti alle famiglie.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1" w:name="a12"/>
      <w:bookmarkEnd w:id="11"/>
      <w:r w:rsidRPr="00DE336C">
        <w:rPr>
          <w:rFonts w:ascii="Verdana" w:eastAsia="Times New Roman" w:hAnsi="Verdana" w:cs="Times New Roman"/>
          <w:b/>
          <w:bCs/>
          <w:color w:val="1D1D1D"/>
          <w:sz w:val="19"/>
          <w:szCs w:val="19"/>
          <w:lang w:eastAsia="it-IT"/>
        </w:rPr>
        <w:t>12. Diritto all'educazione e all'istruzione.</w:t>
      </w:r>
      <w:r w:rsidRPr="00DE336C">
        <w:rPr>
          <w:rFonts w:ascii="Verdana" w:eastAsia="Times New Roman" w:hAnsi="Verdana" w:cs="Times New Roman"/>
          <w:color w:val="1D1D1D"/>
          <w:sz w:val="19"/>
          <w:szCs w:val="19"/>
          <w:lang w:eastAsia="it-IT"/>
        </w:rPr>
        <w:t xml:space="preserve"> - 1. Al bambino da 0 a 3 anni handicappato è garantito l'inserimento negli asili nido.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E' garantito il diritto all'educazione e all'istruzione della persona handicappata nelle sezioni di scuola materna, nelle classi comuni delle istituzioni scolastiche di ogni ordine e grado e nelle istituzioni universitarie.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L'integrazione scolastica ha come obiettivo lo sviluppo delle potenzialità della persona handicappata nell'apprendimento, nella comunicazione, nelle relazioni e nella socializzazione.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L'esercizio del diritto all'educazione e all'istruzione non può essere impedito da difficoltà di apprendimento né da altre difficoltà derivanti dalle disabilità connesse all'handicap.</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All'individuazione dell'alunno come persona handicappata ed all'acquisizione della documentazione risultante dalla diagnosi funzionale, fa seguito un profilo dinamico-funzionale ai fini della formulazione di un piano educativo individualizzato, alla cui definizione provvedono congiuntamente, con la collaborazione dei genitori della persona handicappata, gli operatori delle unità sanitarie locali e, per ciascun grado di scuola, personale insegnante specializzato della scuola, con la partecipazione dell'insegnante operatore psico-pedagogico individuato secondo criteri stabiliti dal Ministro della pubblica istruzione. Il profilo indica le caratteristiche fisiche, psichiche e sociali ed affettive dell'alunno e pone in rilievo sia le difficoltà di apprendimento conseguenti alla situazione di handicap e le possibilità di recupero, sia le capacità possedute che devono essere sostenute, sollecitate e progressivamente rafforzate e sviluppate nel rispetto delle scelte culturali della persona handicappata.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Alla elaborazione del profilo dinamico-funzionale iniziale seguono, con il concorso degli operatori delle unità sanitarie locali, della scuola e delle famiglie, verifiche per controllare gli effetti dei diversi interventi e l'influenza esercitata dall'ambiente scolastico.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 xml:space="preserve">7. I compiti attribuiti alle unità sanitarie locali dai commi 5 e 6 sono svolti secondo le modalità indicate con apposito atto di indirizzo e coordinamento emanato ai sensi dell'articolo 5, primo comma, della </w:t>
      </w:r>
      <w:hyperlink r:id="rId18" w:anchor="a5"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xml:space="preserve">. </w:t>
      </w:r>
      <w:r w:rsidRPr="00DE336C">
        <w:rPr>
          <w:rFonts w:ascii="Verdana" w:eastAsia="Times New Roman" w:hAnsi="Verdana" w:cs="Times New Roman"/>
          <w:i/>
          <w:iCs/>
          <w:color w:val="1D1D1D"/>
          <w:sz w:val="19"/>
          <w:szCs w:val="19"/>
          <w:lang w:eastAsia="it-IT"/>
        </w:rPr>
        <w:t>(1 bis)</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8. Il profilo dinamico-funzionale è aggiornato a conclusione della scuola materna, della scuola elementare e della scuola media e durante il corso di istruzione secondaria superiore.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9. Ai minori handicappati soggetti all'obbligo scolastico, temporaneamente impediti per motivi di salute a frequentare la scuola, sono comunque garantite l'educazione e l'istruzione scolastica. A tal fine il provveditore agli studi, d'intesa con le unità sanitarie locali e i centri di recupero e di riabilitazione, pubblici e privati, convenzionati con i Ministeri della sanità e del lavoro e della previdenza sociale, provvede alla istituzione, per i minori ricoverati, di classi ordinarie quali sezioni staccate della scuola statale. A tali classi possono essere ammessi anche i minori ricoverati nei centri di degenza, che non versino in situazioni di handicap e per i quali sia accertata l'impossibilità della frequenza della scuola dell'obbligo per un periodo non inferiore a trenta giorni di lezione. La frequenza di tali classi, attestata dall'autorità scolastica mediante una relazione sulle attività svolte dai docenti in servizio presso il centro di degenza, è equiparata ad ogni effetto alla frequenza delle classi alle quali i minori sono iscritti.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10. Negli ospedali, nelle cliniche e nelle divisioni pediatriche gli obiettivi di cui al presente articolo possono essere perseguiti anche mediante l'utilizzazione di personale in possesso di specifica formazione psico-pedagogica che abbia una esperienza acquisita presso i nosocomi o segua un periodo di tirocinio di un anno sotto la guida di personale esperto.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(1 bis) si veda l'Atto di indirizzo emanato con </w:t>
      </w:r>
      <w:hyperlink r:id="rId19" w:history="1">
        <w:r w:rsidRPr="00DE336C">
          <w:rPr>
            <w:rFonts w:ascii="Verdana" w:eastAsia="Times New Roman" w:hAnsi="Verdana" w:cs="Times New Roman"/>
            <w:i/>
            <w:iCs/>
            <w:color w:val="761633"/>
            <w:sz w:val="19"/>
            <w:szCs w:val="19"/>
            <w:u w:val="single"/>
            <w:lang w:eastAsia="it-IT"/>
          </w:rPr>
          <w:t>Decreto del Presidente della Repubblica 24 febbraio 1994</w:t>
        </w:r>
      </w:hyperlink>
      <w:r w:rsidRPr="00DE336C">
        <w:rPr>
          <w:rFonts w:ascii="Verdana" w:eastAsia="Times New Roman" w:hAnsi="Verdana" w:cs="Times New Roman"/>
          <w:i/>
          <w:iCs/>
          <w:color w:val="1D1D1D"/>
          <w:sz w:val="19"/>
          <w:szCs w:val="19"/>
          <w:lang w:eastAsia="it-IT"/>
        </w:rPr>
        <w:t xml:space="preserve"> e il successivo Regolamento approvato con </w:t>
      </w:r>
      <w:hyperlink r:id="rId20" w:history="1">
        <w:r w:rsidRPr="00DE336C">
          <w:rPr>
            <w:rFonts w:ascii="Verdana" w:eastAsia="Times New Roman" w:hAnsi="Verdana" w:cs="Times New Roman"/>
            <w:i/>
            <w:iCs/>
            <w:color w:val="761633"/>
            <w:sz w:val="19"/>
            <w:szCs w:val="19"/>
            <w:u w:val="single"/>
            <w:lang w:eastAsia="it-IT"/>
          </w:rPr>
          <w:t>Decreto del Presidente del Consiglio dei Ministri, 23 febbraio 2006, n. 185</w:t>
        </w:r>
      </w:hyperlink>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2" w:name="a13"/>
      <w:bookmarkEnd w:id="12"/>
      <w:r w:rsidRPr="00DE336C">
        <w:rPr>
          <w:rFonts w:ascii="Verdana" w:eastAsia="Times New Roman" w:hAnsi="Verdana" w:cs="Times New Roman"/>
          <w:b/>
          <w:bCs/>
          <w:color w:val="1D1D1D"/>
          <w:sz w:val="19"/>
          <w:szCs w:val="19"/>
          <w:lang w:eastAsia="it-IT"/>
        </w:rPr>
        <w:t>13. Integrazione scolastica.</w:t>
      </w:r>
      <w:r w:rsidRPr="00DE336C">
        <w:rPr>
          <w:rFonts w:ascii="Verdana" w:eastAsia="Times New Roman" w:hAnsi="Verdana" w:cs="Times New Roman"/>
          <w:color w:val="1D1D1D"/>
          <w:sz w:val="19"/>
          <w:szCs w:val="19"/>
          <w:lang w:eastAsia="it-IT"/>
        </w:rPr>
        <w:t xml:space="preserve"> - 1. L'integrazione scolastica della persona handicappata nelle sezioni e nelle classi comuni delle scuole di ogni ordine e grado e nelle università si realizza, fermo restando quanto previsto dalle leggi 11 maggio 1976, n. 360, e </w:t>
      </w:r>
      <w:hyperlink r:id="rId21" w:history="1">
        <w:r w:rsidRPr="00DE336C">
          <w:rPr>
            <w:rFonts w:ascii="Verdana" w:eastAsia="Times New Roman" w:hAnsi="Verdana" w:cs="Times New Roman"/>
            <w:color w:val="761633"/>
            <w:sz w:val="19"/>
            <w:szCs w:val="19"/>
            <w:u w:val="single"/>
            <w:lang w:eastAsia="it-IT"/>
          </w:rPr>
          <w:t>4 agosto 1977, n. 517</w:t>
        </w:r>
      </w:hyperlink>
      <w:r w:rsidRPr="00DE336C">
        <w:rPr>
          <w:rFonts w:ascii="Verdana" w:eastAsia="Times New Roman" w:hAnsi="Verdana" w:cs="Times New Roman"/>
          <w:color w:val="1D1D1D"/>
          <w:sz w:val="19"/>
          <w:szCs w:val="19"/>
          <w:lang w:eastAsia="it-IT"/>
        </w:rPr>
        <w:t>, e successive modificazioni, anche attraverso: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a) la programmazione coordinata dei servizi scolastici con quelli sanitari, socio-assistenziali, culturali, ricreativi, sportivi e con altre attività sul territorio gestite da enti </w:t>
      </w:r>
      <w:proofErr w:type="spellStart"/>
      <w:r w:rsidRPr="00DE336C">
        <w:rPr>
          <w:rFonts w:ascii="Verdana" w:eastAsia="Times New Roman" w:hAnsi="Verdana" w:cs="Times New Roman"/>
          <w:color w:val="1D1D1D"/>
          <w:sz w:val="19"/>
          <w:szCs w:val="19"/>
          <w:lang w:eastAsia="it-IT"/>
        </w:rPr>
        <w:t>pubbici</w:t>
      </w:r>
      <w:proofErr w:type="spellEnd"/>
      <w:r w:rsidRPr="00DE336C">
        <w:rPr>
          <w:rFonts w:ascii="Verdana" w:eastAsia="Times New Roman" w:hAnsi="Verdana" w:cs="Times New Roman"/>
          <w:color w:val="1D1D1D"/>
          <w:sz w:val="19"/>
          <w:szCs w:val="19"/>
          <w:lang w:eastAsia="it-IT"/>
        </w:rPr>
        <w:t xml:space="preserve"> o privati. A tale scopo gli enti locali, gli organi scolastici e le unità sanitarie locali, nell'ambito delle rispettive competenze, stipulano gli accordi di programma di cui all'articolo 27 della </w:t>
      </w:r>
      <w:hyperlink r:id="rId22" w:anchor="a27" w:history="1">
        <w:r w:rsidRPr="00DE336C">
          <w:rPr>
            <w:rFonts w:ascii="Verdana" w:eastAsia="Times New Roman" w:hAnsi="Verdana" w:cs="Times New Roman"/>
            <w:color w:val="761633"/>
            <w:sz w:val="19"/>
            <w:szCs w:val="19"/>
            <w:u w:val="single"/>
            <w:lang w:eastAsia="it-IT"/>
          </w:rPr>
          <w:t>legge 8 giugno 1990, n. 142</w:t>
        </w:r>
      </w:hyperlink>
      <w:r w:rsidRPr="00DE336C">
        <w:rPr>
          <w:rFonts w:ascii="Verdana" w:eastAsia="Times New Roman" w:hAnsi="Verdana" w:cs="Times New Roman"/>
          <w:color w:val="1D1D1D"/>
          <w:sz w:val="19"/>
          <w:szCs w:val="19"/>
          <w:lang w:eastAsia="it-IT"/>
        </w:rPr>
        <w:t xml:space="preserve">. Entro tre mesi dalla data di entrata in vigore della presente legge, con decreto del Ministro della pubblica istruzione, d'intesa con i Ministri per gli affari sociali e della sanità, sono fissati gli indirizzi per la stipula degli accordi di programma. Tali accordi di programma sono finalizzati alla predisposizione, attuazione e verifica congiunta di progetti educativi, riabilitativi e di socializzazione individualizzati, nonché a forme di integrazione tra attività scolastiche e attività integrative </w:t>
      </w:r>
      <w:r w:rsidRPr="00DE336C">
        <w:rPr>
          <w:rFonts w:ascii="Verdana" w:eastAsia="Times New Roman" w:hAnsi="Verdana" w:cs="Times New Roman"/>
          <w:color w:val="1D1D1D"/>
          <w:sz w:val="19"/>
          <w:szCs w:val="19"/>
          <w:lang w:eastAsia="it-IT"/>
        </w:rPr>
        <w:lastRenderedPageBreak/>
        <w:t>extrascolastiche. Negli accordi sono altresì previsti i requisiti che devono essere posseduti dagli enti pubblici e privati ai fini della partecipazione alle attività di collaborazione coordinate;</w:t>
      </w:r>
      <w:r w:rsidRPr="00DE336C">
        <w:rPr>
          <w:rFonts w:ascii="Verdana" w:eastAsia="Times New Roman" w:hAnsi="Verdana" w:cs="Times New Roman"/>
          <w:color w:val="1D1D1D"/>
          <w:sz w:val="19"/>
          <w:szCs w:val="19"/>
          <w:lang w:eastAsia="it-IT"/>
        </w:rPr>
        <w:br/>
        <w:t xml:space="preserve">b) la dotazione alle scuole e alle università di attrezzature tecniche e di sussidi didattici nonché di ogni altra forma di ausilio tecnico, ferma restando la dotazione individuale di ausili e </w:t>
      </w:r>
      <w:proofErr w:type="spellStart"/>
      <w:r w:rsidRPr="00DE336C">
        <w:rPr>
          <w:rFonts w:ascii="Verdana" w:eastAsia="Times New Roman" w:hAnsi="Verdana" w:cs="Times New Roman"/>
          <w:color w:val="1D1D1D"/>
          <w:sz w:val="19"/>
          <w:szCs w:val="19"/>
          <w:lang w:eastAsia="it-IT"/>
        </w:rPr>
        <w:t>presìdi</w:t>
      </w:r>
      <w:proofErr w:type="spellEnd"/>
      <w:r w:rsidRPr="00DE336C">
        <w:rPr>
          <w:rFonts w:ascii="Verdana" w:eastAsia="Times New Roman" w:hAnsi="Verdana" w:cs="Times New Roman"/>
          <w:color w:val="1D1D1D"/>
          <w:sz w:val="19"/>
          <w:szCs w:val="19"/>
          <w:lang w:eastAsia="it-IT"/>
        </w:rPr>
        <w:t xml:space="preserve"> funzionali all'effettivo esercizio del diritto allo studio, anche mediante convenzioni con centri specializzati, aventi funzione di consulenza pedagogica, di produzione e adattamento di specifico materiale didattico;</w:t>
      </w:r>
      <w:r w:rsidRPr="00DE336C">
        <w:rPr>
          <w:rFonts w:ascii="Verdana" w:eastAsia="Times New Roman" w:hAnsi="Verdana" w:cs="Times New Roman"/>
          <w:color w:val="1D1D1D"/>
          <w:sz w:val="19"/>
          <w:szCs w:val="19"/>
          <w:lang w:eastAsia="it-IT"/>
        </w:rPr>
        <w:br/>
        <w:t>c) la programmazione da parte dell'università di interventi adeguati sia al bisogno della persona sia alla peculiarità del piano di studio individuale;</w:t>
      </w:r>
      <w:r w:rsidRPr="00DE336C">
        <w:rPr>
          <w:rFonts w:ascii="Verdana" w:eastAsia="Times New Roman" w:hAnsi="Verdana" w:cs="Times New Roman"/>
          <w:color w:val="1D1D1D"/>
          <w:sz w:val="19"/>
          <w:szCs w:val="19"/>
          <w:lang w:eastAsia="it-IT"/>
        </w:rPr>
        <w:br/>
        <w:t>d) l'attribuzione, con decreto del Ministro dell'università e della ricerca scientifica e tecnologica, da emanare entro tre mesi dalla data di entrata in vigore della presente legge, di incarichi professionali ad interpreti da destinare alle università, per facilitare la frequenza e l'apprendimento di studenti non udenti;</w:t>
      </w:r>
      <w:r w:rsidRPr="00DE336C">
        <w:rPr>
          <w:rFonts w:ascii="Verdana" w:eastAsia="Times New Roman" w:hAnsi="Verdana" w:cs="Times New Roman"/>
          <w:color w:val="1D1D1D"/>
          <w:sz w:val="19"/>
          <w:szCs w:val="19"/>
          <w:lang w:eastAsia="it-IT"/>
        </w:rPr>
        <w:br/>
        <w:t>e) la sperimentazione di cui al decreto del Presidente della Repubblica 31 maggio 1974, n. 419, da realizzare nelle classi frequentate da alunni con handicap.</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Per le finalità di cui al comma 1, gli enti locali e le unità sanitarie locali possono altresì prevedere l'adeguamento dell'organizzazione e del funzionamento degli asili nido alle esigenze dei bambini con handicap, al fine di avviarne precocemente il recupero, la socializzazione e l'integrazione, nonché l'assegnazione di personale docente specializzato e di operatori ed assistenti specializzati.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Nelle scuole di ogni ordine e grado, fermo restando, ai sensi del decreto del Presidente della Repubblica 24 luglio 1977, n. 616, e successive modificazioni, l'obbligo per gli enti locali di fornire l'assistenza per l'autonomia e la comunicazione personale degli alunni con handicap fisici o sensoriali, sono garantite attività di sostegno mediante l'assegnazione di docenti specializzati.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I posti di sostegno per la scuola secondaria di secondo grado sono determinati nell'ambito dell'organico del personale in servizio alla data di entrata in vigore della presente legge in modo da assicurare un rapporto almeno pari a quello previsto per gli altri gradi di istruzione e comunque entro i limiti delle disponibilità finanziarie all'uopo preordinate dall'articolo 42, comma 6, lettera h).</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Nella scuola secondaria di primo e secondo grado sono garantite attività didattiche di sostegno, con priorità per le iniziative sperimentali di cui al comma 1, lettera e), realizzate con docenti di sostegno specializzati, nelle aree disciplinari individuate sulla base del profilo dinamico-funzionale e del conseguente piano educativo individualizzato.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6. Gli insegnanti di sostegno assumono la </w:t>
      </w:r>
      <w:proofErr w:type="spellStart"/>
      <w:r w:rsidRPr="00DE336C">
        <w:rPr>
          <w:rFonts w:ascii="Verdana" w:eastAsia="Times New Roman" w:hAnsi="Verdana" w:cs="Times New Roman"/>
          <w:color w:val="1D1D1D"/>
          <w:sz w:val="19"/>
          <w:szCs w:val="19"/>
          <w:lang w:eastAsia="it-IT"/>
        </w:rPr>
        <w:t>contitolarità</w:t>
      </w:r>
      <w:proofErr w:type="spellEnd"/>
      <w:r w:rsidRPr="00DE336C">
        <w:rPr>
          <w:rFonts w:ascii="Verdana" w:eastAsia="Times New Roman" w:hAnsi="Verdana" w:cs="Times New Roman"/>
          <w:color w:val="1D1D1D"/>
          <w:sz w:val="19"/>
          <w:szCs w:val="19"/>
          <w:lang w:eastAsia="it-IT"/>
        </w:rPr>
        <w:t xml:space="preserve"> delle sezioni e delle classi in cui operano, partecipano alla programmazione educativa e didattica e alla elaborazione e verifica delle attività di competenza dei consigli di interclasse, dei consigli di classe e dei collegi dei docenti (1 </w:t>
      </w:r>
      <w:proofErr w:type="spellStart"/>
      <w:r w:rsidRPr="00DE336C">
        <w:rPr>
          <w:rFonts w:ascii="Verdana" w:eastAsia="Times New Roman" w:hAnsi="Verdana" w:cs="Times New Roman"/>
          <w:color w:val="1D1D1D"/>
          <w:sz w:val="19"/>
          <w:szCs w:val="19"/>
          <w:lang w:eastAsia="it-IT"/>
        </w:rPr>
        <w:t>ter</w:t>
      </w:r>
      <w:proofErr w:type="spellEnd"/>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6 - bis. Agli studenti handicappati iscritti all'università sono garantiti sussidi tecnici e didattici specifici, realizzati anche attraverso le convenzioni di cui alla lettera b) del comma 1, nonché il </w:t>
      </w:r>
      <w:r w:rsidRPr="00DE336C">
        <w:rPr>
          <w:rFonts w:ascii="Verdana" w:eastAsia="Times New Roman" w:hAnsi="Verdana" w:cs="Times New Roman"/>
          <w:color w:val="1D1D1D"/>
          <w:sz w:val="19"/>
          <w:szCs w:val="19"/>
          <w:lang w:eastAsia="it-IT"/>
        </w:rPr>
        <w:lastRenderedPageBreak/>
        <w:t xml:space="preserve">supporto di appositi servizi di tutorato specializzato, istituiti dalle università nei limiti del proprio bilancio e delle risorse destinate alla copertura degli oneri di cui al presente comma, nonché ai commi 5 e 5 -bis dell'articolo 16. (1 </w:t>
      </w:r>
      <w:proofErr w:type="spellStart"/>
      <w:r w:rsidRPr="00DE336C">
        <w:rPr>
          <w:rFonts w:ascii="Verdana" w:eastAsia="Times New Roman" w:hAnsi="Verdana" w:cs="Times New Roman"/>
          <w:color w:val="1D1D1D"/>
          <w:sz w:val="19"/>
          <w:szCs w:val="19"/>
          <w:lang w:eastAsia="it-IT"/>
        </w:rPr>
        <w:t>quater</w:t>
      </w:r>
      <w:proofErr w:type="spellEnd"/>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(1 </w:t>
      </w:r>
      <w:proofErr w:type="spellStart"/>
      <w:r w:rsidRPr="00DE336C">
        <w:rPr>
          <w:rFonts w:ascii="Verdana" w:eastAsia="Times New Roman" w:hAnsi="Verdana" w:cs="Times New Roman"/>
          <w:i/>
          <w:iCs/>
          <w:color w:val="1D1D1D"/>
          <w:sz w:val="19"/>
          <w:szCs w:val="19"/>
          <w:lang w:eastAsia="it-IT"/>
        </w:rPr>
        <w:t>ter</w:t>
      </w:r>
      <w:proofErr w:type="spellEnd"/>
      <w:r w:rsidRPr="00DE336C">
        <w:rPr>
          <w:rFonts w:ascii="Verdana" w:eastAsia="Times New Roman" w:hAnsi="Verdana" w:cs="Times New Roman"/>
          <w:i/>
          <w:iCs/>
          <w:color w:val="1D1D1D"/>
          <w:sz w:val="19"/>
          <w:szCs w:val="19"/>
          <w:lang w:eastAsia="it-IT"/>
        </w:rPr>
        <w:t xml:space="preserve">) Vedi, anche, il </w:t>
      </w:r>
      <w:hyperlink r:id="rId23" w:history="1">
        <w:r w:rsidRPr="00DE336C">
          <w:rPr>
            <w:rFonts w:ascii="Verdana" w:eastAsia="Times New Roman" w:hAnsi="Verdana" w:cs="Times New Roman"/>
            <w:i/>
            <w:iCs/>
            <w:color w:val="761633"/>
            <w:sz w:val="19"/>
            <w:szCs w:val="19"/>
            <w:u w:val="single"/>
            <w:lang w:eastAsia="it-IT"/>
          </w:rPr>
          <w:t>D.M. 9 luglio 1992</w:t>
        </w:r>
      </w:hyperlink>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i/>
          <w:iCs/>
          <w:color w:val="1D1D1D"/>
          <w:sz w:val="19"/>
          <w:szCs w:val="19"/>
          <w:lang w:eastAsia="it-IT"/>
        </w:rPr>
        <w:t xml:space="preserve">(1 </w:t>
      </w:r>
      <w:proofErr w:type="spellStart"/>
      <w:r w:rsidRPr="00DE336C">
        <w:rPr>
          <w:rFonts w:ascii="Verdana" w:eastAsia="Times New Roman" w:hAnsi="Verdana" w:cs="Times New Roman"/>
          <w:i/>
          <w:iCs/>
          <w:color w:val="1D1D1D"/>
          <w:sz w:val="19"/>
          <w:szCs w:val="19"/>
          <w:lang w:eastAsia="it-IT"/>
        </w:rPr>
        <w:t>quater</w:t>
      </w:r>
      <w:proofErr w:type="spellEnd"/>
      <w:r w:rsidRPr="00DE336C">
        <w:rPr>
          <w:rFonts w:ascii="Verdana" w:eastAsia="Times New Roman" w:hAnsi="Verdana" w:cs="Times New Roman"/>
          <w:i/>
          <w:iCs/>
          <w:color w:val="1D1D1D"/>
          <w:sz w:val="19"/>
          <w:szCs w:val="19"/>
          <w:lang w:eastAsia="it-IT"/>
        </w:rPr>
        <w:t xml:space="preserve">) Comma aggiunto dalla </w:t>
      </w:r>
      <w:hyperlink r:id="rId24" w:history="1">
        <w:r w:rsidRPr="00DE336C">
          <w:rPr>
            <w:rFonts w:ascii="Verdana" w:eastAsia="Times New Roman" w:hAnsi="Verdana" w:cs="Times New Roman"/>
            <w:i/>
            <w:iCs/>
            <w:color w:val="761633"/>
            <w:sz w:val="19"/>
            <w:szCs w:val="19"/>
            <w:u w:val="single"/>
            <w:lang w:eastAsia="it-IT"/>
          </w:rPr>
          <w:t>Legge 28 gennaio 1999, n. 1</w:t>
        </w:r>
      </w:hyperlink>
      <w:r w:rsidRPr="00DE336C">
        <w:rPr>
          <w:rFonts w:ascii="Verdana" w:eastAsia="Times New Roman" w:hAnsi="Verdana" w:cs="Times New Roman"/>
          <w:i/>
          <w:iCs/>
          <w:color w:val="1D1D1D"/>
          <w:sz w:val="19"/>
          <w:szCs w:val="19"/>
          <w:lang w:eastAsia="it-IT"/>
        </w:rPr>
        <w:t>7</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3" w:name="a14"/>
      <w:bookmarkEnd w:id="13"/>
      <w:r w:rsidRPr="00DE336C">
        <w:rPr>
          <w:rFonts w:ascii="Verdana" w:eastAsia="Times New Roman" w:hAnsi="Verdana" w:cs="Times New Roman"/>
          <w:b/>
          <w:bCs/>
          <w:color w:val="1D1D1D"/>
          <w:sz w:val="19"/>
          <w:szCs w:val="19"/>
          <w:lang w:eastAsia="it-IT"/>
        </w:rPr>
        <w:t>14. Modalità di attuazione dell'integrazione.</w:t>
      </w:r>
      <w:r w:rsidRPr="00DE336C">
        <w:rPr>
          <w:rFonts w:ascii="Verdana" w:eastAsia="Times New Roman" w:hAnsi="Verdana" w:cs="Times New Roman"/>
          <w:color w:val="1D1D1D"/>
          <w:sz w:val="19"/>
          <w:szCs w:val="19"/>
          <w:lang w:eastAsia="it-IT"/>
        </w:rPr>
        <w:t xml:space="preserve"> - 1. Il Ministro della pubblica istruzione provvede alla formazione e all'aggiornamento del personale docente per l'acquisizione di conoscenze in materia di integrazione scolastica degli studenti handicappati, ai sensi dell'articolo 26 del D.P.R. 23 agosto 1988, n. 399, nel rispetto delle modalità di coordinamento con il Ministero dell'università e della ricerca scientifica e tecnologica di cui all'articolo 4 della legge 9 maggio 1989, n. 168. Il Ministro della pubblica istruzione provvede altresì:</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all'attivazione di forme sistematiche di orientamento, particolarmente qualificate per la persona handicappata, con inizio almeno dalla prima classe della scuola secondaria di primo grado;</w:t>
      </w:r>
      <w:r w:rsidRPr="00DE336C">
        <w:rPr>
          <w:rFonts w:ascii="Verdana" w:eastAsia="Times New Roman" w:hAnsi="Verdana" w:cs="Times New Roman"/>
          <w:color w:val="1D1D1D"/>
          <w:sz w:val="19"/>
          <w:szCs w:val="19"/>
          <w:lang w:eastAsia="it-IT"/>
        </w:rPr>
        <w:br/>
        <w:t>b) all'organizzazione dell'attività educativa e didattica secondo il criterio della flessibilità nell'articolazione delle sezioni e delle classi, anche aperte, in relazione alla programmazione scolastica individualizzata;</w:t>
      </w:r>
      <w:r w:rsidRPr="00DE336C">
        <w:rPr>
          <w:rFonts w:ascii="Verdana" w:eastAsia="Times New Roman" w:hAnsi="Verdana" w:cs="Times New Roman"/>
          <w:color w:val="1D1D1D"/>
          <w:sz w:val="19"/>
          <w:szCs w:val="19"/>
          <w:lang w:eastAsia="it-IT"/>
        </w:rPr>
        <w:br/>
        <w:t xml:space="preserve">c) a garantire la continuità educativa fra i diversi gradi di scuola, prevedendo forme obbligatorie di consultazione tra insegnanti del ciclo inferiore e del ciclo superiore ed il massimo sviluppo dell'esperienza scolastica della persona handicappata in tutti gli ordini e gradi di scuola, consentendo il completamento della scuola dell'obbligo anche sino al compimento del diciottesimo anno di età; nell'interesse dell'alunno, con deliberazione del collegio dei docenti, sentiti gli specialisti di cui all'articolo 4, secondo comma, lettera l), del decreto del Presidente della Repubblica 31 maggio 1974, n. 416, su proposta del consiglio di classe o di interclasse, può essere consentita una terza </w:t>
      </w:r>
      <w:proofErr w:type="spellStart"/>
      <w:r w:rsidRPr="00DE336C">
        <w:rPr>
          <w:rFonts w:ascii="Verdana" w:eastAsia="Times New Roman" w:hAnsi="Verdana" w:cs="Times New Roman"/>
          <w:color w:val="1D1D1D"/>
          <w:sz w:val="19"/>
          <w:szCs w:val="19"/>
          <w:lang w:eastAsia="it-IT"/>
        </w:rPr>
        <w:t>ripetenza</w:t>
      </w:r>
      <w:proofErr w:type="spellEnd"/>
      <w:r w:rsidRPr="00DE336C">
        <w:rPr>
          <w:rFonts w:ascii="Verdana" w:eastAsia="Times New Roman" w:hAnsi="Verdana" w:cs="Times New Roman"/>
          <w:color w:val="1D1D1D"/>
          <w:sz w:val="19"/>
          <w:szCs w:val="19"/>
          <w:lang w:eastAsia="it-IT"/>
        </w:rPr>
        <w:t xml:space="preserve"> in singole classi.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I piani di studio delle scuole di specializzazione di cui all'articolo 4 della </w:t>
      </w:r>
      <w:hyperlink r:id="rId25" w:anchor="a4" w:history="1">
        <w:r w:rsidRPr="00DE336C">
          <w:rPr>
            <w:rFonts w:ascii="Verdana" w:eastAsia="Times New Roman" w:hAnsi="Verdana" w:cs="Times New Roman"/>
            <w:color w:val="761633"/>
            <w:sz w:val="19"/>
            <w:szCs w:val="19"/>
            <w:u w:val="single"/>
            <w:lang w:eastAsia="it-IT"/>
          </w:rPr>
          <w:t>legge 19 novembre 1990, n. 341</w:t>
        </w:r>
      </w:hyperlink>
      <w:r w:rsidRPr="00DE336C">
        <w:rPr>
          <w:rFonts w:ascii="Verdana" w:eastAsia="Times New Roman" w:hAnsi="Verdana" w:cs="Times New Roman"/>
          <w:color w:val="1D1D1D"/>
          <w:sz w:val="19"/>
          <w:szCs w:val="19"/>
          <w:lang w:eastAsia="it-IT"/>
        </w:rPr>
        <w:t xml:space="preserve">, per il conseguimento del diploma abilitante all'insegnamento nelle scuole secondarie, comprendono, nei limiti degli stanziamenti già preordinati in base alla legislazione vigente per la definizione dei suddetti piani di studio, discipline facoltative, attinenti all'integrazione degli alunni handicappati, determinate ai sensi dell'articolo 4, comma 3, della citata </w:t>
      </w:r>
      <w:hyperlink r:id="rId26" w:anchor="a4" w:history="1">
        <w:r w:rsidRPr="00DE336C">
          <w:rPr>
            <w:rFonts w:ascii="Verdana" w:eastAsia="Times New Roman" w:hAnsi="Verdana" w:cs="Times New Roman"/>
            <w:color w:val="761633"/>
            <w:sz w:val="19"/>
            <w:szCs w:val="19"/>
            <w:u w:val="single"/>
            <w:lang w:eastAsia="it-IT"/>
          </w:rPr>
          <w:t>legge n. 341 del 1990</w:t>
        </w:r>
      </w:hyperlink>
      <w:r w:rsidRPr="00DE336C">
        <w:rPr>
          <w:rFonts w:ascii="Verdana" w:eastAsia="Times New Roman" w:hAnsi="Verdana" w:cs="Times New Roman"/>
          <w:color w:val="1D1D1D"/>
          <w:sz w:val="19"/>
          <w:szCs w:val="19"/>
          <w:lang w:eastAsia="it-IT"/>
        </w:rPr>
        <w:t>. Nel diploma di specializzazione conseguito ai sensi del predetto articolo 4 deve essere specificato se l'insegnante ha sostenuto gli esami relativi all'attività didattica di sostegno per le discipline cui il diploma stesso si riferisce, nel qual caso la specializzazione ha valore abilitante anche per l'attività didattica di sostegno.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La tabella del corso di laurea definita ai sensi dell'articolo 3, comma 3, della citata </w:t>
      </w:r>
      <w:hyperlink r:id="rId27" w:anchor="a3" w:history="1">
        <w:r w:rsidRPr="00DE336C">
          <w:rPr>
            <w:rFonts w:ascii="Verdana" w:eastAsia="Times New Roman" w:hAnsi="Verdana" w:cs="Times New Roman"/>
            <w:color w:val="761633"/>
            <w:sz w:val="19"/>
            <w:szCs w:val="19"/>
            <w:u w:val="single"/>
            <w:lang w:eastAsia="it-IT"/>
          </w:rPr>
          <w:t>legge n. 341 del 1990</w:t>
        </w:r>
      </w:hyperlink>
      <w:r w:rsidRPr="00DE336C">
        <w:rPr>
          <w:rFonts w:ascii="Verdana" w:eastAsia="Times New Roman" w:hAnsi="Verdana" w:cs="Times New Roman"/>
          <w:color w:val="1D1D1D"/>
          <w:sz w:val="19"/>
          <w:szCs w:val="19"/>
          <w:lang w:eastAsia="it-IT"/>
        </w:rPr>
        <w:t xml:space="preserve"> comprende, nei limiti degli stanziamenti già preordinati in base alla legislazione vigente per la definizione delle tabelle dei corsi di laurea, insegnamenti facoltativi attinenti all'integrazione </w:t>
      </w:r>
      <w:r w:rsidRPr="00DE336C">
        <w:rPr>
          <w:rFonts w:ascii="Verdana" w:eastAsia="Times New Roman" w:hAnsi="Verdana" w:cs="Times New Roman"/>
          <w:color w:val="1D1D1D"/>
          <w:sz w:val="19"/>
          <w:szCs w:val="19"/>
          <w:lang w:eastAsia="it-IT"/>
        </w:rPr>
        <w:lastRenderedPageBreak/>
        <w:t>scolastica degli alunni handicappati. Il diploma di laurea per l'insegnamento nelle scuole materne ed elementari di cui all'articolo 3, comma 2, della citata legge n. 341 del 1990 costituisce titolo per l'ammissione ai concorsi per l'attività didattica di sostegno solo se siano stati sostenuti gli esami relativi, individuati come obbligatori per la preparazione all'attività didattica di sostegno, nell'ambito della tabella suddetta definita ai sensi dell'articolo 3, comma 3, della medesima legge n. 341 del 1990.</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L'insegnamento delle discipline facoltative previste nei piani di studio delle scuole di specializzazione di cui al comma 2 e dei corsi di laurea di cui al comma 3 può essere impartito anche da enti o istituti specializzati all'uopo convenzionati con le università, le quali disciplinano le modalità di espletamento degli esami e i relativi controlli. I docenti relatori dei corsi di specializzazione devono essere in possesso del diploma di laurea e del diploma di specializzazione.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5. Fino alla prima applicazione dell'articolo 9 della citata </w:t>
      </w:r>
      <w:hyperlink r:id="rId28" w:anchor="a9" w:history="1">
        <w:r w:rsidRPr="00DE336C">
          <w:rPr>
            <w:rFonts w:ascii="Verdana" w:eastAsia="Times New Roman" w:hAnsi="Verdana" w:cs="Times New Roman"/>
            <w:color w:val="761633"/>
            <w:sz w:val="19"/>
            <w:szCs w:val="19"/>
            <w:u w:val="single"/>
            <w:lang w:eastAsia="it-IT"/>
          </w:rPr>
          <w:t>legge n. 341 del 1990</w:t>
        </w:r>
      </w:hyperlink>
      <w:r w:rsidRPr="00DE336C">
        <w:rPr>
          <w:rFonts w:ascii="Verdana" w:eastAsia="Times New Roman" w:hAnsi="Verdana" w:cs="Times New Roman"/>
          <w:color w:val="1D1D1D"/>
          <w:sz w:val="19"/>
          <w:szCs w:val="19"/>
          <w:lang w:eastAsia="it-IT"/>
        </w:rPr>
        <w:t>, relativamente alle scuole di specializzazione si applicano le disposizioni di cui al decreto del Presidente della Repubblica 31 maggio 1974, n. 417, e successive modificazioni, al decreto del Presidente della Repubblica 31 ottobre 1975, n. 970 e all'articolo 65 della legge 20 maggio 1982, n. 270.</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L'utilizzazione in posti di sostegno di docenti privi dei prescritti titoli di specializzazione è consentita unicamente qualora manchino docenti di ruolo o non di ruolo specializzati. 7. Gli accordi di programma di cui all'articolo 13, comma 1, lettera a), possono prevedere lo svolgimento di corsi di aggiornamento comuni per il personale delle scuole, delle unità sanitarie locali e degli enti locali, impegnati in piani educativi e di recupero individualizzati.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4" w:name="a15"/>
      <w:bookmarkEnd w:id="14"/>
      <w:r w:rsidRPr="00DE336C">
        <w:rPr>
          <w:rFonts w:ascii="Verdana" w:eastAsia="Times New Roman" w:hAnsi="Verdana" w:cs="Times New Roman"/>
          <w:b/>
          <w:bCs/>
          <w:color w:val="1D1D1D"/>
          <w:sz w:val="19"/>
          <w:szCs w:val="19"/>
          <w:lang w:eastAsia="it-IT"/>
        </w:rPr>
        <w:t>15. Gruppi di lavoro per l'integrazione scolastica.</w:t>
      </w:r>
      <w:r w:rsidRPr="00DE336C">
        <w:rPr>
          <w:rFonts w:ascii="Verdana" w:eastAsia="Times New Roman" w:hAnsi="Verdana" w:cs="Times New Roman"/>
          <w:color w:val="1D1D1D"/>
          <w:sz w:val="19"/>
          <w:szCs w:val="19"/>
          <w:lang w:eastAsia="it-IT"/>
        </w:rPr>
        <w:t xml:space="preserve"> - 1. Presso ogni ufficio scolastico provinciale è istituito un gruppo di lavoro composto da: un ispettore tecnico nominato dal provveditore agli studi, un esperto della scuola utilizzato ai sensi dell'articolo 14, decimo comma, della legge 20 maggio 1982, n. 270, e successive modificazioni, due esperti designati dagli enti locali, due esperti delle unità sanitarie locali, tre esperti designati dalle associazioni delle persone handicappate maggiormente rappresentative a livello provinciale nominati dal provveditore agli studi sulla base dei criteri indicati dal Ministro della pubblica istruzione entro novanta giorni dalla data di entrata in vigore della presente legge. Il gruppo di lavoro dura in carica tre anni.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Presso ogni circolo didattico ed istituto di scuola secondaria di primo e secondo grado sono costituiti gruppi di studio e di lavoro composti da insegnanti, operatori dei servizi, familiari e studenti con il compito di collaborare alle iniziative educative e di integrazione predisposte dal piano educativo.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I gruppi di lavoro di cui al comma 1 hanno compiti di consulenza e proposta al provveditore agli studi, di consulenza alle singole scuole, di collaborazione con gli enti locali e le unità sanitarie locali per la conclusione e la verifica dell'esecuzione degli accordi di programma di cui agli articoli 13, 39 e </w:t>
      </w:r>
      <w:r w:rsidRPr="00DE336C">
        <w:rPr>
          <w:rFonts w:ascii="Verdana" w:eastAsia="Times New Roman" w:hAnsi="Verdana" w:cs="Times New Roman"/>
          <w:color w:val="1D1D1D"/>
          <w:sz w:val="19"/>
          <w:szCs w:val="19"/>
          <w:lang w:eastAsia="it-IT"/>
        </w:rPr>
        <w:lastRenderedPageBreak/>
        <w:t>40, per l'impostazione e l'attuazione dei piani educativi individualizzati, nonché per qualsiasi altra attività inerente all'integrazione degli alunni in difficoltà di apprendimento.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I gruppi di lavoro predispongono annualmente una relazione da inviare al Ministro della pubblica istruzione ed al presidente della giunta regionale. Il presidente della giunta regionale può avvalersi della relazione ai fini della verifica dello stato di attuazione degli accordi di programma di cui agli artt. 13, 39 e 40 (2).</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(2) Vedi, anche, il D.M. 26 giugno 1992.</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5" w:name="a16"/>
      <w:bookmarkEnd w:id="15"/>
      <w:r w:rsidRPr="00DE336C">
        <w:rPr>
          <w:rFonts w:ascii="Verdana" w:eastAsia="Times New Roman" w:hAnsi="Verdana" w:cs="Times New Roman"/>
          <w:b/>
          <w:bCs/>
          <w:color w:val="1D1D1D"/>
          <w:sz w:val="19"/>
          <w:szCs w:val="19"/>
          <w:lang w:eastAsia="it-IT"/>
        </w:rPr>
        <w:t>16. Valutazione del rendimento e prove d'esame.</w:t>
      </w:r>
      <w:r w:rsidRPr="00DE336C">
        <w:rPr>
          <w:rFonts w:ascii="Verdana" w:eastAsia="Times New Roman" w:hAnsi="Verdana" w:cs="Times New Roman"/>
          <w:color w:val="1D1D1D"/>
          <w:sz w:val="19"/>
          <w:szCs w:val="19"/>
          <w:lang w:eastAsia="it-IT"/>
        </w:rPr>
        <w:t xml:space="preserve"> - 1. Nella valutazione degli alunni handicappati da parte degli insegnanti è indicato, sulla base del piano educativo individualizzato, per quali discipline siano stati adottati particolari criteri didattici, quali attività integrative e di sostegno siano state svolte, anche in sostituzione parziale dei contenuti programmatici di alcune discipline.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Nella scuola dell'obbligo sono predisposte, sulla base degli elementi conoscitivi di cui al comma 1, prove d'esame corrispondenti agli insegnamenti impartiti e idonee a valutare il progresso dell'allievo in rapporto alle sue potenzialità e ai livelli di apprendimento iniziali.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Nell'ambito della scuola secondaria di secondo grado, per gli alunni handicappati sono consentite prove equipollenti e tempi più lunghi per l'effettuazione delle prove scritte o grafiche e la presenza di assistenti per l'autonomia e la comunicazione.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Gli alunni handicappati sostengono le prove finalizzate alla valutazione del rendimento scolastico o allo svolgimento di esami anche universitari con l'uso degli ausili loro necessari.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Il trattamento individualizzato previsto dai commi 3 e 4 in favore degli studenti handicappati è consentito per il superamento degli esami universitari previa intesa con il docente della materia e con l'ausilio del servizio di tutorato di cui all'articolo 13, comma 6 -bis . É consentito, altresì, sia l'impiego di specifici mezzi tecnici in relazione alla tipologia di handicap , sia la possibilità di svolgere prove equipollenti su proposta del servizio di tutorato specializzato</w:t>
      </w:r>
      <w:r w:rsidRPr="00DE336C">
        <w:rPr>
          <w:rFonts w:ascii="Verdana" w:eastAsia="Times New Roman" w:hAnsi="Verdana" w:cs="Times New Roman"/>
          <w:i/>
          <w:iCs/>
          <w:color w:val="1D1D1D"/>
          <w:sz w:val="19"/>
          <w:szCs w:val="19"/>
          <w:lang w:eastAsia="it-IT"/>
        </w:rPr>
        <w:t>. (2 bis)</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5 - bis. Le università, con proprie disposizioni, istituiscono un docente delegato dal rettore con funzioni di coordinamento, monitoraggio e supporto di tutte le iniziative concernenti l'integrazione nell'ambito dell'ateneo. (2 </w:t>
      </w:r>
      <w:proofErr w:type="spellStart"/>
      <w:r w:rsidRPr="00DE336C">
        <w:rPr>
          <w:rFonts w:ascii="Verdana" w:eastAsia="Times New Roman" w:hAnsi="Verdana" w:cs="Times New Roman"/>
          <w:color w:val="1D1D1D"/>
          <w:sz w:val="19"/>
          <w:szCs w:val="19"/>
          <w:lang w:eastAsia="it-IT"/>
        </w:rPr>
        <w:t>ter</w:t>
      </w:r>
      <w:proofErr w:type="spellEnd"/>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(2 bis) comma così modificato dalla </w:t>
      </w:r>
      <w:hyperlink r:id="rId29" w:history="1">
        <w:r w:rsidRPr="00DE336C">
          <w:rPr>
            <w:rFonts w:ascii="Verdana" w:eastAsia="Times New Roman" w:hAnsi="Verdana" w:cs="Times New Roman"/>
            <w:i/>
            <w:iCs/>
            <w:color w:val="761633"/>
            <w:sz w:val="19"/>
            <w:szCs w:val="19"/>
            <w:u w:val="single"/>
            <w:lang w:eastAsia="it-IT"/>
          </w:rPr>
          <w:t>Legge 28 gennaio 1999, n. 17.</w:t>
        </w:r>
      </w:hyperlink>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i/>
          <w:iCs/>
          <w:color w:val="1D1D1D"/>
          <w:sz w:val="19"/>
          <w:szCs w:val="19"/>
          <w:lang w:eastAsia="it-IT"/>
        </w:rPr>
        <w:t xml:space="preserve">(2 </w:t>
      </w:r>
      <w:proofErr w:type="spellStart"/>
      <w:r w:rsidRPr="00DE336C">
        <w:rPr>
          <w:rFonts w:ascii="Verdana" w:eastAsia="Times New Roman" w:hAnsi="Verdana" w:cs="Times New Roman"/>
          <w:i/>
          <w:iCs/>
          <w:color w:val="1D1D1D"/>
          <w:sz w:val="19"/>
          <w:szCs w:val="19"/>
          <w:lang w:eastAsia="it-IT"/>
        </w:rPr>
        <w:t>ter</w:t>
      </w:r>
      <w:proofErr w:type="spellEnd"/>
      <w:r w:rsidRPr="00DE336C">
        <w:rPr>
          <w:rFonts w:ascii="Verdana" w:eastAsia="Times New Roman" w:hAnsi="Verdana" w:cs="Times New Roman"/>
          <w:i/>
          <w:iCs/>
          <w:color w:val="1D1D1D"/>
          <w:sz w:val="19"/>
          <w:szCs w:val="19"/>
          <w:lang w:eastAsia="it-IT"/>
        </w:rPr>
        <w:t xml:space="preserve">) comma aggiunto dalla </w:t>
      </w:r>
      <w:hyperlink r:id="rId30" w:history="1">
        <w:r w:rsidRPr="00DE336C">
          <w:rPr>
            <w:rFonts w:ascii="Verdana" w:eastAsia="Times New Roman" w:hAnsi="Verdana" w:cs="Times New Roman"/>
            <w:i/>
            <w:iCs/>
            <w:color w:val="761633"/>
            <w:sz w:val="19"/>
            <w:szCs w:val="19"/>
            <w:u w:val="single"/>
            <w:lang w:eastAsia="it-IT"/>
          </w:rPr>
          <w:t>Legge 28 gennaio 1999, n. 17.</w:t>
        </w:r>
      </w:hyperlink>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6" w:name="a17"/>
      <w:bookmarkEnd w:id="16"/>
      <w:r w:rsidRPr="00DE336C">
        <w:rPr>
          <w:rFonts w:ascii="Verdana" w:eastAsia="Times New Roman" w:hAnsi="Verdana" w:cs="Times New Roman"/>
          <w:b/>
          <w:bCs/>
          <w:color w:val="1D1D1D"/>
          <w:sz w:val="19"/>
          <w:szCs w:val="19"/>
          <w:lang w:eastAsia="it-IT"/>
        </w:rPr>
        <w:t>17. Formazione professionale.</w:t>
      </w:r>
      <w:r w:rsidRPr="00DE336C">
        <w:rPr>
          <w:rFonts w:ascii="Verdana" w:eastAsia="Times New Roman" w:hAnsi="Verdana" w:cs="Times New Roman"/>
          <w:color w:val="1D1D1D"/>
          <w:sz w:val="19"/>
          <w:szCs w:val="19"/>
          <w:lang w:eastAsia="it-IT"/>
        </w:rPr>
        <w:t xml:space="preserve"> - 1. Le regioni, in attuazione di quanto previsto dagli articoli 3, primo comma, lettere l) e m), e 8, primo comma, lettere g) e h), della </w:t>
      </w:r>
      <w:hyperlink r:id="rId31" w:anchor="a3" w:history="1">
        <w:r w:rsidRPr="00DE336C">
          <w:rPr>
            <w:rFonts w:ascii="Verdana" w:eastAsia="Times New Roman" w:hAnsi="Verdana" w:cs="Times New Roman"/>
            <w:color w:val="761633"/>
            <w:sz w:val="19"/>
            <w:szCs w:val="19"/>
            <w:u w:val="single"/>
            <w:lang w:eastAsia="it-IT"/>
          </w:rPr>
          <w:t>legge 21 dicembre 1978, n. 845</w:t>
        </w:r>
      </w:hyperlink>
      <w:r w:rsidRPr="00DE336C">
        <w:rPr>
          <w:rFonts w:ascii="Verdana" w:eastAsia="Times New Roman" w:hAnsi="Verdana" w:cs="Times New Roman"/>
          <w:color w:val="1D1D1D"/>
          <w:sz w:val="19"/>
          <w:szCs w:val="19"/>
          <w:lang w:eastAsia="it-IT"/>
        </w:rPr>
        <w:t xml:space="preserve">, realizzano l'inserimento della persona handicappata negli ordinari corsi di formazione professionale dei centri pubblici e privati e garantiscono agli allievi handicappati che non siano in </w:t>
      </w:r>
      <w:r w:rsidRPr="00DE336C">
        <w:rPr>
          <w:rFonts w:ascii="Verdana" w:eastAsia="Times New Roman" w:hAnsi="Verdana" w:cs="Times New Roman"/>
          <w:color w:val="1D1D1D"/>
          <w:sz w:val="19"/>
          <w:szCs w:val="19"/>
          <w:lang w:eastAsia="it-IT"/>
        </w:rPr>
        <w:lastRenderedPageBreak/>
        <w:t>grado di avvalersi dei metodi di apprendimento ordinari l'acquisizione di una qualifica anche mediante attività specifiche nell'ambito delle attività del centro di formazione professionale tenendo conto dell'orientamento emerso dai piani educativi individualizzati realizzati durante l'iter scolastico. A tal fine forniscono ai centri i sussidi e le attrezzature necessarie.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I corsi di formazione professionale tengono conto delle diverse capacità ed esigenze della persona handicappata che, di conseguenza, è inserita in classi comuni o in corsi specifici o in corsi </w:t>
      </w:r>
      <w:proofErr w:type="spellStart"/>
      <w:r w:rsidRPr="00DE336C">
        <w:rPr>
          <w:rFonts w:ascii="Verdana" w:eastAsia="Times New Roman" w:hAnsi="Verdana" w:cs="Times New Roman"/>
          <w:color w:val="1D1D1D"/>
          <w:sz w:val="19"/>
          <w:szCs w:val="19"/>
          <w:lang w:eastAsia="it-IT"/>
        </w:rPr>
        <w:t>prelavorativi</w:t>
      </w:r>
      <w:proofErr w:type="spellEnd"/>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Nei centri di formazione professionale sono istituiti corsi per le persone handicappate non in grado di frequentare i corsi normali. I corsi possono essere realizzati nei centri di riabilitazione, quando vi siano svolti programmi di ergoterapia e programmi finalizzati all'addestramento professionale, ovvero possono essere realizzati dagli enti di cui all'articolo 5 della citata </w:t>
      </w:r>
      <w:hyperlink r:id="rId32" w:anchor="a5" w:history="1">
        <w:r w:rsidRPr="00DE336C">
          <w:rPr>
            <w:rFonts w:ascii="Verdana" w:eastAsia="Times New Roman" w:hAnsi="Verdana" w:cs="Times New Roman"/>
            <w:color w:val="761633"/>
            <w:sz w:val="19"/>
            <w:szCs w:val="19"/>
            <w:u w:val="single"/>
            <w:lang w:eastAsia="it-IT"/>
          </w:rPr>
          <w:t>legge n. 845 del 1978</w:t>
        </w:r>
      </w:hyperlink>
      <w:r w:rsidRPr="00DE336C">
        <w:rPr>
          <w:rFonts w:ascii="Verdana" w:eastAsia="Times New Roman" w:hAnsi="Verdana" w:cs="Times New Roman"/>
          <w:color w:val="1D1D1D"/>
          <w:sz w:val="19"/>
          <w:szCs w:val="19"/>
          <w:lang w:eastAsia="it-IT"/>
        </w:rPr>
        <w:t>, nonché da organizzazioni di volontariato e da enti autorizzati da leggi vigenti. Le regioni, entro sei mesi dalla data di entrata in vigore della presente legge, provvedono ad adeguare alle disposizioni di cui al presente comma i programmi pluriennali e i piani annuali di attuazione per le attività di formazione professionale di cui all'articolo 5 della medesima legge n. 845 del 1978.</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Agli allievi che abbiano frequentato i corsi di cui al comma 2 è rilasciato un attestato di frequenza utile ai fini della graduatoria per il collocamento obbligatorio nel quadro economico-produttivo territoriale.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5. Fermo restando quanto previsto in favore delle persone handicappate dalla citata </w:t>
      </w:r>
      <w:hyperlink r:id="rId33" w:history="1">
        <w:r w:rsidRPr="00DE336C">
          <w:rPr>
            <w:rFonts w:ascii="Verdana" w:eastAsia="Times New Roman" w:hAnsi="Verdana" w:cs="Times New Roman"/>
            <w:color w:val="761633"/>
            <w:sz w:val="19"/>
            <w:szCs w:val="19"/>
            <w:u w:val="single"/>
            <w:lang w:eastAsia="it-IT"/>
          </w:rPr>
          <w:t>legge n. 845 del 1978</w:t>
        </w:r>
      </w:hyperlink>
      <w:r w:rsidRPr="00DE336C">
        <w:rPr>
          <w:rFonts w:ascii="Verdana" w:eastAsia="Times New Roman" w:hAnsi="Verdana" w:cs="Times New Roman"/>
          <w:color w:val="1D1D1D"/>
          <w:sz w:val="19"/>
          <w:szCs w:val="19"/>
          <w:lang w:eastAsia="it-IT"/>
        </w:rPr>
        <w:t xml:space="preserve">, una quota del fondo comune di cui all'articolo 8 della legge 16 maggio 1970, n. 281, è destinata ad iniziative di formazione e di avviamento al lavoro in forme sperimentali, quali tirocini, contratti di formazione, iniziative territoriali di lavoro guidato, corsi </w:t>
      </w:r>
      <w:proofErr w:type="spellStart"/>
      <w:r w:rsidRPr="00DE336C">
        <w:rPr>
          <w:rFonts w:ascii="Verdana" w:eastAsia="Times New Roman" w:hAnsi="Verdana" w:cs="Times New Roman"/>
          <w:color w:val="1D1D1D"/>
          <w:sz w:val="19"/>
          <w:szCs w:val="19"/>
          <w:lang w:eastAsia="it-IT"/>
        </w:rPr>
        <w:t>prelavorativi</w:t>
      </w:r>
      <w:proofErr w:type="spellEnd"/>
      <w:r w:rsidRPr="00DE336C">
        <w:rPr>
          <w:rFonts w:ascii="Verdana" w:eastAsia="Times New Roman" w:hAnsi="Verdana" w:cs="Times New Roman"/>
          <w:color w:val="1D1D1D"/>
          <w:sz w:val="19"/>
          <w:szCs w:val="19"/>
          <w:lang w:eastAsia="it-IT"/>
        </w:rPr>
        <w:t>, sulla base di criteri e procedure fissati con decreto del Ministro del lavoro e della previdenza sociale entro sei mesi dalla data di entrata in vigore della presente legge.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7" w:name="a18"/>
      <w:bookmarkEnd w:id="17"/>
      <w:r w:rsidRPr="00DE336C">
        <w:rPr>
          <w:rFonts w:ascii="Verdana" w:eastAsia="Times New Roman" w:hAnsi="Verdana" w:cs="Times New Roman"/>
          <w:b/>
          <w:bCs/>
          <w:color w:val="1D1D1D"/>
          <w:sz w:val="19"/>
          <w:szCs w:val="19"/>
          <w:lang w:eastAsia="it-IT"/>
        </w:rPr>
        <w:t>18. Integrazione lavorativa.</w:t>
      </w:r>
      <w:r w:rsidRPr="00DE336C">
        <w:rPr>
          <w:rFonts w:ascii="Verdana" w:eastAsia="Times New Roman" w:hAnsi="Verdana" w:cs="Times New Roman"/>
          <w:color w:val="1D1D1D"/>
          <w:sz w:val="19"/>
          <w:szCs w:val="19"/>
          <w:lang w:eastAsia="it-IT"/>
        </w:rPr>
        <w:t xml:space="preserve"> - 1. Le regioni, entro sei mesi dalla data di entrata in vigore della presente legge, disciplinano l'istituzione e la tenuta dell'albo regionale degli enti, istituzioni, cooperative sociali, di lavoro, di servizi, e dei centri di lavoro guidato, associazioni ed organizzazioni di volontariato che svolgono attività idonee a favorire l'inserimento e l'integrazione lavorativa di persone handicappate.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Requisiti per l'iscrizione all'albo dei cui al comma 1, oltre a quelli previsti dalle leggi regionali, sono: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avere personalità giuridica di diritto pubblico o privato o natura di associazione, con i requisiti di cui al capo II del titolo II del libro I del codice civile;</w:t>
      </w:r>
      <w:r w:rsidRPr="00DE336C">
        <w:rPr>
          <w:rFonts w:ascii="Verdana" w:eastAsia="Times New Roman" w:hAnsi="Verdana" w:cs="Times New Roman"/>
          <w:color w:val="1D1D1D"/>
          <w:sz w:val="19"/>
          <w:szCs w:val="19"/>
          <w:lang w:eastAsia="it-IT"/>
        </w:rPr>
        <w:br/>
        <w:t>b) garantire idonei livelli di prestazioni, di qualificazione del personale e di efficienza operativa.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3. Le regioni disciplinano le modalità di revisione ed aggiornamento biennale dell'albo di cui al comma 1.</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I rapporti dei comuni, dei consorzi tra comuni e tra comuni e province, delle comunità montane e delle unità sanitarie locali con gli organismi di cui al comma 1 sono regolati da convenzioni conformi allo schema tipo approvato con decreto del Ministro del lavoro e della previdenza sociale, di concerto con il Ministro della sanità e con il Ministro per gli affari sociali, da emanare entro centoventi giorni dalla data di entrata in vigore della presente legge (3).</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L'iscrizione all'albo di cui al comma 1 è condizione necessaria per accedere alle convenzioni di cui all'articolo 38. 6. Le regioni possono provvedere con proprie leggi: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a disciplinare le agevolazioni alle singole persone handicappate per recarsi al posto di lavoro e per l'avvio e lo svolgimento di attività lavorative autonome;</w:t>
      </w:r>
      <w:r w:rsidRPr="00DE336C">
        <w:rPr>
          <w:rFonts w:ascii="Verdana" w:eastAsia="Times New Roman" w:hAnsi="Verdana" w:cs="Times New Roman"/>
          <w:color w:val="1D1D1D"/>
          <w:sz w:val="19"/>
          <w:szCs w:val="19"/>
          <w:lang w:eastAsia="it-IT"/>
        </w:rPr>
        <w:br/>
        <w:t>b) a disciplinare gli incentivi, le agevolazioni e i contributi ai datori di lavoro anche ai fini dell'adattamento del posto di lavoro per l'assunzione delle persone handicappate.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(3) Il </w:t>
      </w:r>
      <w:hyperlink r:id="rId34" w:history="1">
        <w:r w:rsidRPr="00DE336C">
          <w:rPr>
            <w:rFonts w:ascii="Verdana" w:eastAsia="Times New Roman" w:hAnsi="Verdana" w:cs="Times New Roman"/>
            <w:i/>
            <w:iCs/>
            <w:color w:val="761633"/>
            <w:sz w:val="19"/>
            <w:szCs w:val="19"/>
            <w:u w:val="single"/>
            <w:lang w:eastAsia="it-IT"/>
          </w:rPr>
          <w:t>D.M. 30 novembre 1994</w:t>
        </w:r>
      </w:hyperlink>
      <w:r w:rsidRPr="00DE336C">
        <w:rPr>
          <w:rFonts w:ascii="Verdana" w:eastAsia="Times New Roman" w:hAnsi="Verdana" w:cs="Times New Roman"/>
          <w:color w:val="1D1D1D"/>
          <w:sz w:val="19"/>
          <w:szCs w:val="19"/>
          <w:lang w:eastAsia="it-IT"/>
        </w:rPr>
        <w:t xml:space="preserve"> (G.U. 16 dicembre 1994, n. 293) ha stato approvato lo schema-tipo di convenzione previsto dal presente articolo.</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18" w:name="a19"/>
      <w:bookmarkEnd w:id="18"/>
      <w:r w:rsidRPr="00DE336C">
        <w:rPr>
          <w:rFonts w:ascii="Verdana" w:eastAsia="Times New Roman" w:hAnsi="Verdana" w:cs="Times New Roman"/>
          <w:b/>
          <w:bCs/>
          <w:color w:val="1D1D1D"/>
          <w:sz w:val="19"/>
          <w:szCs w:val="19"/>
          <w:lang w:eastAsia="it-IT"/>
        </w:rPr>
        <w:t>19. Soggetti aventi diritto al collocamento obbligatorio.</w:t>
      </w:r>
      <w:r w:rsidRPr="00DE336C">
        <w:rPr>
          <w:rFonts w:ascii="Verdana" w:eastAsia="Times New Roman" w:hAnsi="Verdana" w:cs="Times New Roman"/>
          <w:color w:val="1D1D1D"/>
          <w:sz w:val="19"/>
          <w:szCs w:val="19"/>
          <w:lang w:eastAsia="it-IT"/>
        </w:rPr>
        <w:t xml:space="preserve"> - 1. In attesa dell'entrata in vigore della nuova disciplina del collocamento obbligatorio, le disposizioni di cui alla </w:t>
      </w:r>
      <w:hyperlink r:id="rId35" w:history="1">
        <w:r w:rsidRPr="00DE336C">
          <w:rPr>
            <w:rFonts w:ascii="Verdana" w:eastAsia="Times New Roman" w:hAnsi="Verdana" w:cs="Times New Roman"/>
            <w:color w:val="761633"/>
            <w:sz w:val="19"/>
            <w:szCs w:val="19"/>
            <w:u w:val="single"/>
            <w:lang w:eastAsia="it-IT"/>
          </w:rPr>
          <w:t>legge 2 aprile 1968, n. 482</w:t>
        </w:r>
      </w:hyperlink>
      <w:r w:rsidRPr="00DE336C">
        <w:rPr>
          <w:rFonts w:ascii="Verdana" w:eastAsia="Times New Roman" w:hAnsi="Verdana" w:cs="Times New Roman"/>
          <w:color w:val="1D1D1D"/>
          <w:sz w:val="19"/>
          <w:szCs w:val="19"/>
          <w:lang w:eastAsia="it-IT"/>
        </w:rPr>
        <w:t>, e successive modificazioni, devono intendersi applicabili anche a coloro che sono affetti da minorazione psichica, i quali abbiano una capacità lavorativa che ne consente l'impiego in mansioni compatibili. Ai fini dell'avviamento al lavoro, la valutazione della persona handicappata tiene conto della capacità lavorativa e relazionale dell'individuo e non solo della minorazione fisica o psichica. La capacità lavorativa è accertata dalle commissioni di cui all'articolo 4 della presente legge, integrate ai sensi dello stesso articolo da uno specialista nelle discipline neurologiche, psichiatriche o psicologiche.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19" w:name="a20"/>
      <w:bookmarkEnd w:id="19"/>
      <w:r w:rsidRPr="00DE336C">
        <w:rPr>
          <w:rFonts w:ascii="Verdana" w:eastAsia="Times New Roman" w:hAnsi="Verdana" w:cs="Times New Roman"/>
          <w:b/>
          <w:bCs/>
          <w:color w:val="1D1D1D"/>
          <w:sz w:val="19"/>
          <w:szCs w:val="19"/>
          <w:lang w:eastAsia="it-IT"/>
        </w:rPr>
        <w:t>20. Prove d'esame nei concorsi pubblici e per l'abilitazione alle professioni.</w:t>
      </w:r>
      <w:r w:rsidRPr="00DE336C">
        <w:rPr>
          <w:rFonts w:ascii="Verdana" w:eastAsia="Times New Roman" w:hAnsi="Verdana" w:cs="Times New Roman"/>
          <w:color w:val="1D1D1D"/>
          <w:sz w:val="19"/>
          <w:szCs w:val="19"/>
          <w:lang w:eastAsia="it-IT"/>
        </w:rPr>
        <w:t xml:space="preserve"> - 1. La persona handicappata sostiene le prove d'esame nei concorsi pubblici e per l'abilitazione alle professioni con l'uso degli ausili necessari e nei tempi aggiuntivi eventualmente necessari in relazione allo specifico handicap.</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Nella domanda di partecipazione al concorso e all'esame per l'abilitazione alle professioni il candidato specifica l'ausilio necessario in relazione al proprio handicap, nonché l'eventuale necessità di tempi aggiuntivi.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0" w:name="a21"/>
      <w:bookmarkEnd w:id="20"/>
      <w:r w:rsidRPr="00DE336C">
        <w:rPr>
          <w:rFonts w:ascii="Verdana" w:eastAsia="Times New Roman" w:hAnsi="Verdana" w:cs="Times New Roman"/>
          <w:b/>
          <w:bCs/>
          <w:color w:val="1D1D1D"/>
          <w:sz w:val="19"/>
          <w:szCs w:val="19"/>
          <w:lang w:eastAsia="it-IT"/>
        </w:rPr>
        <w:t>21. Precedenza nell'assegnazione di sede.</w:t>
      </w:r>
      <w:r w:rsidRPr="00DE336C">
        <w:rPr>
          <w:rFonts w:ascii="Verdana" w:eastAsia="Times New Roman" w:hAnsi="Verdana" w:cs="Times New Roman"/>
          <w:color w:val="1D1D1D"/>
          <w:sz w:val="19"/>
          <w:szCs w:val="19"/>
          <w:lang w:eastAsia="it-IT"/>
        </w:rPr>
        <w:t xml:space="preserve"> - 1. La persona handicappata con un grado di invalidità superiore ai due terzi o con minorazioni iscritte alle categorie prima, seconda e terza della tabella A annessa alla legge 10 agosto 1950, n. 648, assunta presso gli enti pubblici come vincitrice di concorso o ad altro titolo, ha diritto di scelta prioritaria tra le sedi disponibili.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2. I soggetti di cui al comma 1 hanno la precedenza in sede di trasferimento a domanda.</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color w:val="1D1D1D"/>
          <w:sz w:val="19"/>
          <w:szCs w:val="19"/>
          <w:lang w:eastAsia="it-IT"/>
        </w:rPr>
        <w:br/>
        <w:t>[</w:t>
      </w:r>
      <w:r w:rsidRPr="00DE336C">
        <w:rPr>
          <w:rFonts w:ascii="Verdana" w:eastAsia="Times New Roman" w:hAnsi="Verdana" w:cs="Times New Roman"/>
          <w:b/>
          <w:bCs/>
          <w:color w:val="1D1D1D"/>
          <w:sz w:val="19"/>
          <w:szCs w:val="19"/>
          <w:lang w:eastAsia="it-IT"/>
        </w:rPr>
        <w:t>Consulta</w:t>
      </w:r>
      <w:r w:rsidRPr="00DE336C">
        <w:rPr>
          <w:rFonts w:ascii="Verdana" w:eastAsia="Times New Roman" w:hAnsi="Verdana" w:cs="Times New Roman"/>
          <w:color w:val="1D1D1D"/>
          <w:sz w:val="19"/>
          <w:szCs w:val="19"/>
          <w:lang w:eastAsia="it-IT"/>
        </w:rPr>
        <w:t xml:space="preserve"> le nostre schede di approfondimento su </w:t>
      </w:r>
      <w:hyperlink r:id="rId36" w:history="1">
        <w:r w:rsidRPr="00DE336C">
          <w:rPr>
            <w:rFonts w:ascii="Verdana" w:eastAsia="Times New Roman" w:hAnsi="Verdana" w:cs="Times New Roman"/>
            <w:color w:val="761633"/>
            <w:sz w:val="19"/>
            <w:szCs w:val="19"/>
            <w:u w:val="single"/>
            <w:lang w:eastAsia="it-IT"/>
          </w:rPr>
          <w:t>scelta prioritaria della sede e rifiuto al trasferimento</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21" w:name="a22"/>
      <w:bookmarkEnd w:id="21"/>
      <w:r w:rsidRPr="00DE336C">
        <w:rPr>
          <w:rFonts w:ascii="Verdana" w:eastAsia="Times New Roman" w:hAnsi="Verdana" w:cs="Times New Roman"/>
          <w:b/>
          <w:bCs/>
          <w:color w:val="1D1D1D"/>
          <w:sz w:val="19"/>
          <w:szCs w:val="19"/>
          <w:lang w:eastAsia="it-IT"/>
        </w:rPr>
        <w:t>22. Accertamenti ai fini del lavoro pubblico e privato.</w:t>
      </w:r>
      <w:r w:rsidRPr="00DE336C">
        <w:rPr>
          <w:rFonts w:ascii="Verdana" w:eastAsia="Times New Roman" w:hAnsi="Verdana" w:cs="Times New Roman"/>
          <w:color w:val="1D1D1D"/>
          <w:sz w:val="19"/>
          <w:szCs w:val="19"/>
          <w:lang w:eastAsia="it-IT"/>
        </w:rPr>
        <w:t xml:space="preserve"> - 1. Ai fini dell'assunzione al lavoro pubblico e privato non è richiesta la certificazione di sana e robusta costituzione fisica.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2" w:name="a23"/>
      <w:bookmarkEnd w:id="22"/>
      <w:r w:rsidRPr="00DE336C">
        <w:rPr>
          <w:rFonts w:ascii="Verdana" w:eastAsia="Times New Roman" w:hAnsi="Verdana" w:cs="Times New Roman"/>
          <w:b/>
          <w:bCs/>
          <w:color w:val="1D1D1D"/>
          <w:sz w:val="19"/>
          <w:szCs w:val="19"/>
          <w:lang w:eastAsia="it-IT"/>
        </w:rPr>
        <w:t>23. Rimozione di ostacoli per l'esercizio di attività sportive, turistiche e ricreative.</w:t>
      </w:r>
      <w:r w:rsidRPr="00DE336C">
        <w:rPr>
          <w:rFonts w:ascii="Verdana" w:eastAsia="Times New Roman" w:hAnsi="Verdana" w:cs="Times New Roman"/>
          <w:color w:val="1D1D1D"/>
          <w:sz w:val="19"/>
          <w:szCs w:val="19"/>
          <w:lang w:eastAsia="it-IT"/>
        </w:rPr>
        <w:t xml:space="preserve"> - 1. L'attività e la pratica delle discipline sportive sono favorite senza limitazione alcuna. Il Ministro della sanità, con proprio decreto da emanare entro un anno dalla data di entrata in vigore della presente legge, definisce i protocolli per la concessione dell'idoneità alla pratica sportiva agonistica alle persone handicappate.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Le regioni e i comuni, i consorzi di comuni ed il Comitato olimpico nazionale italiano (CONI) realizzano, in conformità alle disposizioni vigenti in materia di eliminazione delle barriere architettoniche, ciascuno per gli impianti di propria competenza, l'accessibilità e la fruibilità delle strutture sportive e dei connessi servizi da parte delle persone handicappate.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Le concessioni demaniali per gli impianti di balneazione ed i loro rinnovi sono subordinati alla </w:t>
      </w:r>
      <w:proofErr w:type="spellStart"/>
      <w:r w:rsidRPr="00DE336C">
        <w:rPr>
          <w:rFonts w:ascii="Verdana" w:eastAsia="Times New Roman" w:hAnsi="Verdana" w:cs="Times New Roman"/>
          <w:color w:val="1D1D1D"/>
          <w:sz w:val="19"/>
          <w:szCs w:val="19"/>
          <w:lang w:eastAsia="it-IT"/>
        </w:rPr>
        <w:t>visitabilità</w:t>
      </w:r>
      <w:proofErr w:type="spellEnd"/>
      <w:r w:rsidRPr="00DE336C">
        <w:rPr>
          <w:rFonts w:ascii="Verdana" w:eastAsia="Times New Roman" w:hAnsi="Verdana" w:cs="Times New Roman"/>
          <w:color w:val="1D1D1D"/>
          <w:sz w:val="19"/>
          <w:szCs w:val="19"/>
          <w:lang w:eastAsia="it-IT"/>
        </w:rPr>
        <w:t xml:space="preserve"> degli impianti ai sensi del </w:t>
      </w:r>
      <w:hyperlink r:id="rId37" w:history="1">
        <w:r w:rsidRPr="00DE336C">
          <w:rPr>
            <w:rFonts w:ascii="Verdana" w:eastAsia="Times New Roman" w:hAnsi="Verdana" w:cs="Times New Roman"/>
            <w:color w:val="761633"/>
            <w:sz w:val="19"/>
            <w:szCs w:val="19"/>
            <w:u w:val="single"/>
            <w:lang w:eastAsia="it-IT"/>
          </w:rPr>
          <w:t>decreto del Ministro dei lavori pubblici 14 giugno 1989, n. 236</w:t>
        </w:r>
      </w:hyperlink>
      <w:r w:rsidRPr="00DE336C">
        <w:rPr>
          <w:rFonts w:ascii="Verdana" w:eastAsia="Times New Roman" w:hAnsi="Verdana" w:cs="Times New Roman"/>
          <w:color w:val="1D1D1D"/>
          <w:sz w:val="19"/>
          <w:szCs w:val="19"/>
          <w:lang w:eastAsia="it-IT"/>
        </w:rPr>
        <w:t xml:space="preserve">, di attuazione della </w:t>
      </w:r>
      <w:hyperlink r:id="rId38" w:history="1">
        <w:r w:rsidRPr="00DE336C">
          <w:rPr>
            <w:rFonts w:ascii="Verdana" w:eastAsia="Times New Roman" w:hAnsi="Verdana" w:cs="Times New Roman"/>
            <w:color w:val="761633"/>
            <w:sz w:val="19"/>
            <w:szCs w:val="19"/>
            <w:u w:val="single"/>
            <w:lang w:eastAsia="it-IT"/>
          </w:rPr>
          <w:t>legge 9 gennaio 1989, n. 13</w:t>
        </w:r>
      </w:hyperlink>
      <w:r w:rsidRPr="00DE336C">
        <w:rPr>
          <w:rFonts w:ascii="Verdana" w:eastAsia="Times New Roman" w:hAnsi="Verdana" w:cs="Times New Roman"/>
          <w:color w:val="1D1D1D"/>
          <w:sz w:val="19"/>
          <w:szCs w:val="19"/>
          <w:lang w:eastAsia="it-IT"/>
        </w:rPr>
        <w:t>, e all'effettiva possibilità di accesso al mare delle persone handicappate.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4. Le concessioni autostradali ed i loro rinnovi sono subordinati alla </w:t>
      </w:r>
      <w:proofErr w:type="spellStart"/>
      <w:r w:rsidRPr="00DE336C">
        <w:rPr>
          <w:rFonts w:ascii="Verdana" w:eastAsia="Times New Roman" w:hAnsi="Verdana" w:cs="Times New Roman"/>
          <w:color w:val="1D1D1D"/>
          <w:sz w:val="19"/>
          <w:szCs w:val="19"/>
          <w:lang w:eastAsia="it-IT"/>
        </w:rPr>
        <w:t>visitabilità</w:t>
      </w:r>
      <w:proofErr w:type="spellEnd"/>
      <w:r w:rsidRPr="00DE336C">
        <w:rPr>
          <w:rFonts w:ascii="Verdana" w:eastAsia="Times New Roman" w:hAnsi="Verdana" w:cs="Times New Roman"/>
          <w:color w:val="1D1D1D"/>
          <w:sz w:val="19"/>
          <w:szCs w:val="19"/>
          <w:lang w:eastAsia="it-IT"/>
        </w:rPr>
        <w:t xml:space="preserve"> degli impianti ai sensi del citato decreto del Ministro dei lavori pubblici 14 giugno 1989, n. 236.</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Chiunque, nell'esercizio delle attività di cui all'articolo 5, primo comma, della legge 17 maggio 1983, n. 217, o di altri pubblici esercizi, discrimina persone handicappate è punito con la sanzione amministrativa del pagamento di una somma da lire un milione a lire dieci milioni e con la chiusura dell'esercizio da uno a sei mesi.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3" w:name="a24"/>
      <w:bookmarkEnd w:id="23"/>
      <w:r w:rsidRPr="00DE336C">
        <w:rPr>
          <w:rFonts w:ascii="Verdana" w:eastAsia="Times New Roman" w:hAnsi="Verdana" w:cs="Times New Roman"/>
          <w:b/>
          <w:bCs/>
          <w:color w:val="1D1D1D"/>
          <w:sz w:val="19"/>
          <w:szCs w:val="19"/>
          <w:lang w:eastAsia="it-IT"/>
        </w:rPr>
        <w:t>24. Eliminazione o superamento delle barriere architettoniche.</w:t>
      </w:r>
      <w:r w:rsidRPr="00DE336C">
        <w:rPr>
          <w:rFonts w:ascii="Verdana" w:eastAsia="Times New Roman" w:hAnsi="Verdana" w:cs="Times New Roman"/>
          <w:color w:val="1D1D1D"/>
          <w:sz w:val="19"/>
          <w:szCs w:val="19"/>
          <w:lang w:eastAsia="it-IT"/>
        </w:rPr>
        <w:t xml:space="preserve"> - 1. Tutte le opere edilizie riguardanti edifici pubblici e privati aperti al pubblico che sono suscettibili di limitare l'accessibilità e la </w:t>
      </w:r>
      <w:proofErr w:type="spellStart"/>
      <w:r w:rsidRPr="00DE336C">
        <w:rPr>
          <w:rFonts w:ascii="Verdana" w:eastAsia="Times New Roman" w:hAnsi="Verdana" w:cs="Times New Roman"/>
          <w:color w:val="1D1D1D"/>
          <w:sz w:val="19"/>
          <w:szCs w:val="19"/>
          <w:lang w:eastAsia="it-IT"/>
        </w:rPr>
        <w:t>visitabilità</w:t>
      </w:r>
      <w:proofErr w:type="spellEnd"/>
      <w:r w:rsidRPr="00DE336C">
        <w:rPr>
          <w:rFonts w:ascii="Verdana" w:eastAsia="Times New Roman" w:hAnsi="Verdana" w:cs="Times New Roman"/>
          <w:color w:val="1D1D1D"/>
          <w:sz w:val="19"/>
          <w:szCs w:val="19"/>
          <w:lang w:eastAsia="it-IT"/>
        </w:rPr>
        <w:t xml:space="preserve"> di cui alla </w:t>
      </w:r>
      <w:hyperlink r:id="rId39" w:history="1">
        <w:r w:rsidRPr="00DE336C">
          <w:rPr>
            <w:rFonts w:ascii="Verdana" w:eastAsia="Times New Roman" w:hAnsi="Verdana" w:cs="Times New Roman"/>
            <w:color w:val="761633"/>
            <w:sz w:val="19"/>
            <w:szCs w:val="19"/>
            <w:u w:val="single"/>
            <w:lang w:eastAsia="it-IT"/>
          </w:rPr>
          <w:t>legge 9 gennaio 1989, n. 13</w:t>
        </w:r>
      </w:hyperlink>
      <w:r w:rsidRPr="00DE336C">
        <w:rPr>
          <w:rFonts w:ascii="Verdana" w:eastAsia="Times New Roman" w:hAnsi="Verdana" w:cs="Times New Roman"/>
          <w:color w:val="1D1D1D"/>
          <w:sz w:val="19"/>
          <w:szCs w:val="19"/>
          <w:lang w:eastAsia="it-IT"/>
        </w:rPr>
        <w:t xml:space="preserve"> , e successive modificazioni, sono eseguite in conformità alle disposizioni di cui alla </w:t>
      </w:r>
      <w:hyperlink r:id="rId40" w:history="1">
        <w:r w:rsidRPr="00DE336C">
          <w:rPr>
            <w:rFonts w:ascii="Verdana" w:eastAsia="Times New Roman" w:hAnsi="Verdana" w:cs="Times New Roman"/>
            <w:color w:val="761633"/>
            <w:sz w:val="19"/>
            <w:szCs w:val="19"/>
            <w:u w:val="single"/>
            <w:lang w:eastAsia="it-IT"/>
          </w:rPr>
          <w:t>legge 30 marzo 1971, n. 118</w:t>
        </w:r>
      </w:hyperlink>
      <w:r w:rsidRPr="00DE336C">
        <w:rPr>
          <w:rFonts w:ascii="Verdana" w:eastAsia="Times New Roman" w:hAnsi="Verdana" w:cs="Times New Roman"/>
          <w:color w:val="1D1D1D"/>
          <w:sz w:val="19"/>
          <w:szCs w:val="19"/>
          <w:lang w:eastAsia="it-IT"/>
        </w:rPr>
        <w:t xml:space="preserve">, e successive modificazioni, al regolamento approvato con </w:t>
      </w:r>
      <w:hyperlink r:id="rId41" w:history="1">
        <w:r w:rsidRPr="00DE336C">
          <w:rPr>
            <w:rFonts w:ascii="Verdana" w:eastAsia="Times New Roman" w:hAnsi="Verdana" w:cs="Times New Roman"/>
            <w:color w:val="761633"/>
            <w:sz w:val="19"/>
            <w:szCs w:val="19"/>
            <w:u w:val="single"/>
            <w:lang w:eastAsia="it-IT"/>
          </w:rPr>
          <w:t>decreto del Presidente della Repubblica 27 aprile 1978, n. 384</w:t>
        </w:r>
      </w:hyperlink>
      <w:r w:rsidRPr="00DE336C">
        <w:rPr>
          <w:rFonts w:ascii="Verdana" w:eastAsia="Times New Roman" w:hAnsi="Verdana" w:cs="Times New Roman"/>
          <w:color w:val="1D1D1D"/>
          <w:sz w:val="19"/>
          <w:szCs w:val="19"/>
          <w:lang w:eastAsia="it-IT"/>
        </w:rPr>
        <w:t xml:space="preserve">, alla citata legge n. 13 del 1989, e successive modificazioni, e al citato </w:t>
      </w:r>
      <w:hyperlink r:id="rId42" w:history="1">
        <w:r w:rsidRPr="00DE336C">
          <w:rPr>
            <w:rFonts w:ascii="Verdana" w:eastAsia="Times New Roman" w:hAnsi="Verdana" w:cs="Times New Roman"/>
            <w:color w:val="761633"/>
            <w:sz w:val="19"/>
            <w:szCs w:val="19"/>
            <w:u w:val="single"/>
            <w:lang w:eastAsia="it-IT"/>
          </w:rPr>
          <w:t>decreto del Ministro dei lavori pubblici 14 giugno 1989, n. 236</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Per gli edifici pubblici e privati aperti al pubblico soggetti ai vincoli di cui alle leggi 1° giugno 1939, n. 1089, e successive modificazioni, e 29 giugno 1939, n. 1497, e successive modificazioni, nonché ai vincoli previsti da leggi speciali aventi le medesime finalità, qualora le autorizzazioni </w:t>
      </w:r>
      <w:r w:rsidRPr="00DE336C">
        <w:rPr>
          <w:rFonts w:ascii="Verdana" w:eastAsia="Times New Roman" w:hAnsi="Verdana" w:cs="Times New Roman"/>
          <w:color w:val="1D1D1D"/>
          <w:sz w:val="19"/>
          <w:szCs w:val="19"/>
          <w:lang w:eastAsia="it-IT"/>
        </w:rPr>
        <w:lastRenderedPageBreak/>
        <w:t>previste dagli articoli 4 e 5 della citata legge n. 13 del 1989 non possano venire concesse, per il mancato rilascio del nulla osta da parte delle autorità competenti alla tutela del vincolo, la conformità alle norme vigenti in materia di accessibilità e di superamento delle barriere architettoniche può essere realizzata con opere provvisionali, come definite dall'articolo 7 del decreto del Presidente della Repubblica 7 gennaio 1956, n. 164, nei limiti della compatibilità suggerita dai vincoli stessi.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Alle comunicazioni al comune dei progetti di esecuzione dei lavori riguardanti edifici pubblici e aperti al pubblico, di cui al comma 1, rese ai sensi degli articoli 15, terzo comma, e 26, secondo comma, della legge 28 febbraio 1985, n. 47, e successive modificazioni, sono allegate una documentazione grafica e una dichiarazione di conformità alla normativa vigente in materia di accessibilità e di superamento delle barriere architettoniche, anche ai sensi del comma 2 del presente articolo.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Il rilascio della concessione o autorizzazione edilizia per le opere di cui al comma 1 è subordinato alla verifica della conformità del progetto compiuta dall'ufficio tecnico o dal tecnico incaricato dal comune. Il sindaco, nel rilasciare il certificato di agibilità e di abitabilità per le opere di cui al comma 1, deve accertare che le opere siano state realizzate nel rispetto delle disposizioni vigenti in materia di eliminazione delle barriere architettoniche. A tal fine può richiedere al proprietario dell'immobile o all'intestatario della concessione una dichiarazione resa sotto forma di perizia giurata redatta da un tecnico abilitato.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5. Nel caso di opere pubbliche, fermi restando il divieto di finanziamento di cui all'articolo 32, comma 20, della </w:t>
      </w:r>
      <w:hyperlink r:id="rId43" w:history="1">
        <w:r w:rsidRPr="00DE336C">
          <w:rPr>
            <w:rFonts w:ascii="Verdana" w:eastAsia="Times New Roman" w:hAnsi="Verdana" w:cs="Times New Roman"/>
            <w:color w:val="761633"/>
            <w:sz w:val="19"/>
            <w:szCs w:val="19"/>
            <w:u w:val="single"/>
            <w:lang w:eastAsia="it-IT"/>
          </w:rPr>
          <w:t>legge 28 febbraio 1986, n. 41</w:t>
        </w:r>
      </w:hyperlink>
      <w:r w:rsidRPr="00DE336C">
        <w:rPr>
          <w:rFonts w:ascii="Verdana" w:eastAsia="Times New Roman" w:hAnsi="Verdana" w:cs="Times New Roman"/>
          <w:color w:val="1D1D1D"/>
          <w:sz w:val="19"/>
          <w:szCs w:val="19"/>
          <w:lang w:eastAsia="it-IT"/>
        </w:rPr>
        <w:t>, e l'obbligo della dichiarazione del progettista, l'accertamento di conformità alla normativa vigente in materia di eliminazione delle barriere architettoniche spetta all'Amministrazione competente, che ne dà atto in sede di approvazione del progetto.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La richiesta di modifica di destinazione d'uso di edifici in luoghi pubblici o aperti al pubblico è accompagnata dalla dichiarazione di cui al comma 3. Il rilascio del certificato di agibilità e di abitabilità è condizionato alla verifica tecnica della conformità della dichiarazione allo stato dell'immobile.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7. Tutte le opere realizzate negli edifici pubblici e privati aperti al pubblico in difformità dalle disposizioni vigenti in materia di accessibilità e di eliminazione delle barriere architettoniche, nelle quali le difformità siano tali da rendere impossibile l'utilizzazione dell'opera da parte delle persone handicappate, sono dichiarate inabitabili e inagibili. Il progettista, il direttore dei lavori, il responsabile tecnico degli accertamenti per l'agibilità o l'abitabilità ed il collaudatore, ciascuno per la propria competenza, sono direttamente responsabili. Essi sono puniti con l'ammenda da lire 10 milioni a lire 50 milioni e con la sospensione dai rispettivi albi professionali per un periodo compreso da uno a sei mesi.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 xml:space="preserve">8. Il Comitato per l'edilizia residenziale (CER), di cui all'articolo 3 della legge 5 agosto 1978, n. 457, fermo restando il divieto di finanziamento di cui all'articolo 32, comma 20, della citata </w:t>
      </w:r>
      <w:hyperlink r:id="rId44" w:history="1">
        <w:r w:rsidRPr="00DE336C">
          <w:rPr>
            <w:rFonts w:ascii="Verdana" w:eastAsia="Times New Roman" w:hAnsi="Verdana" w:cs="Times New Roman"/>
            <w:color w:val="761633"/>
            <w:sz w:val="19"/>
            <w:szCs w:val="19"/>
            <w:u w:val="single"/>
            <w:lang w:eastAsia="it-IT"/>
          </w:rPr>
          <w:t>legge n. 41 del 1986</w:t>
        </w:r>
      </w:hyperlink>
      <w:r w:rsidRPr="00DE336C">
        <w:rPr>
          <w:rFonts w:ascii="Verdana" w:eastAsia="Times New Roman" w:hAnsi="Verdana" w:cs="Times New Roman"/>
          <w:color w:val="1D1D1D"/>
          <w:sz w:val="19"/>
          <w:szCs w:val="19"/>
          <w:lang w:eastAsia="it-IT"/>
        </w:rPr>
        <w:t>, dispone che una quota dei fondi per la realizzazione di opere di urbanizzazione e per interventi di recupero sia utilizzata per la eliminazione delle barriere architettoniche negli insediamenti di edilizia residenziale pubblica realizzati prima della data di entrata in vigore della presente legge.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9. I piani di cui all'articolo 32, comma 21, della citata legge </w:t>
      </w:r>
      <w:hyperlink r:id="rId45" w:history="1">
        <w:r w:rsidRPr="00DE336C">
          <w:rPr>
            <w:rFonts w:ascii="Verdana" w:eastAsia="Times New Roman" w:hAnsi="Verdana" w:cs="Times New Roman"/>
            <w:color w:val="761633"/>
            <w:sz w:val="19"/>
            <w:szCs w:val="19"/>
            <w:u w:val="single"/>
            <w:lang w:eastAsia="it-IT"/>
          </w:rPr>
          <w:t>n. 41 del 1986</w:t>
        </w:r>
      </w:hyperlink>
      <w:r w:rsidRPr="00DE336C">
        <w:rPr>
          <w:rFonts w:ascii="Verdana" w:eastAsia="Times New Roman" w:hAnsi="Verdana" w:cs="Times New Roman"/>
          <w:color w:val="1D1D1D"/>
          <w:sz w:val="19"/>
          <w:szCs w:val="19"/>
          <w:lang w:eastAsia="it-IT"/>
        </w:rPr>
        <w:t xml:space="preserve"> sono modificati con integrazioni relative all'accessibilità degli spazi urbani, con particolare riferimento all'individuazione e alla realizzazione di percorsi accessibili, all'installazione di semafori acustici per non vedenti, alla rimozione della segnaletica installata in modo da ostacolare la circolazione delle persone handicappate.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10. Nell'ambito della complessiva somma che in ciascun anno la Cassa depositi e prestiti concede agli enti locali per la contrazione di mutui con finalità di investimento, una quota almeno pari al 2 per cento è destinata ai prestiti finalizzati ad interventi di ristrutturazione e recupero in attuazione delle norme di cui al regolamento approvato con </w:t>
      </w:r>
      <w:hyperlink r:id="rId46" w:history="1">
        <w:r w:rsidRPr="00DE336C">
          <w:rPr>
            <w:rFonts w:ascii="Verdana" w:eastAsia="Times New Roman" w:hAnsi="Verdana" w:cs="Times New Roman"/>
            <w:color w:val="761633"/>
            <w:sz w:val="19"/>
            <w:szCs w:val="19"/>
            <w:u w:val="single"/>
            <w:lang w:eastAsia="it-IT"/>
          </w:rPr>
          <w:t>decreto del Presidente della Repubblica 27 aprile 1978, n. 384</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11. I comuni adeguano i propri regolamenti edilizi alle disposizioni di cui all'articolo 27 della citata </w:t>
      </w:r>
      <w:hyperlink r:id="rId47" w:anchor="a27" w:history="1">
        <w:r w:rsidRPr="00DE336C">
          <w:rPr>
            <w:rFonts w:ascii="Verdana" w:eastAsia="Times New Roman" w:hAnsi="Verdana" w:cs="Times New Roman"/>
            <w:color w:val="761633"/>
            <w:sz w:val="19"/>
            <w:szCs w:val="19"/>
            <w:u w:val="single"/>
            <w:lang w:eastAsia="it-IT"/>
          </w:rPr>
          <w:t>legge n. 118 del 1971</w:t>
        </w:r>
      </w:hyperlink>
      <w:r w:rsidRPr="00DE336C">
        <w:rPr>
          <w:rFonts w:ascii="Verdana" w:eastAsia="Times New Roman" w:hAnsi="Verdana" w:cs="Times New Roman"/>
          <w:color w:val="1D1D1D"/>
          <w:sz w:val="19"/>
          <w:szCs w:val="19"/>
          <w:lang w:eastAsia="it-IT"/>
        </w:rPr>
        <w:t>, all'articolo 2 del citato regolamento approvato con decreto del Presidente della Repubblica n. 384 del 1978, alla citata legge n. 13 del 1989, e successive modificazioni, e al citato decreto del Ministro dei lavori pubblici 14 giugno 1989, n. 236 entro centottanta giorni dalla data di entrata in vigore della presente legge. Scaduto tale termine, le norme dei regolamenti edilizi comunali contrastanti con le disposizioni del presente articolo perdono efficacia.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4" w:name="a25"/>
      <w:bookmarkEnd w:id="24"/>
      <w:r w:rsidRPr="00DE336C">
        <w:rPr>
          <w:rFonts w:ascii="Verdana" w:eastAsia="Times New Roman" w:hAnsi="Verdana" w:cs="Times New Roman"/>
          <w:b/>
          <w:bCs/>
          <w:color w:val="1D1D1D"/>
          <w:sz w:val="19"/>
          <w:szCs w:val="19"/>
          <w:lang w:eastAsia="it-IT"/>
        </w:rPr>
        <w:t>25. Accesso alla informazione e alla comunicazione.</w:t>
      </w:r>
      <w:r w:rsidRPr="00DE336C">
        <w:rPr>
          <w:rFonts w:ascii="Verdana" w:eastAsia="Times New Roman" w:hAnsi="Verdana" w:cs="Times New Roman"/>
          <w:color w:val="1D1D1D"/>
          <w:sz w:val="19"/>
          <w:szCs w:val="19"/>
          <w:lang w:eastAsia="it-IT"/>
        </w:rPr>
        <w:t xml:space="preserve"> - 1. Il Ministro delle poste e delle telecomunicazioni contribuisce alla realizzazione di progetti elaborati dalle concessionarie per i servizi radiotelevisivi e telefonici volti a favorire l'accesso all'informazione radiotelevisiva e alla telefonia anche mediante installazione di decodificatori e di apparecchiature complementari, nonché mediante l'adeguamento delle cabine telefoniche.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All'atto di rinnovo o in occasione di modifiche delle convenzioni per la concessione di servizi radiotelevisivi o telefonici sono previste iniziative atte a favorire la ricezione da parte di persone con handicap sensoriali di programmi di informazione, culturali e di svago e la diffusione di decodificatori.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5" w:name="a26"/>
      <w:bookmarkEnd w:id="25"/>
      <w:r w:rsidRPr="00DE336C">
        <w:rPr>
          <w:rFonts w:ascii="Verdana" w:eastAsia="Times New Roman" w:hAnsi="Verdana" w:cs="Times New Roman"/>
          <w:b/>
          <w:bCs/>
          <w:color w:val="1D1D1D"/>
          <w:sz w:val="19"/>
          <w:szCs w:val="19"/>
          <w:lang w:eastAsia="it-IT"/>
        </w:rPr>
        <w:t>26. Mobilità e trasporti collettivi.</w:t>
      </w:r>
      <w:r w:rsidRPr="00DE336C">
        <w:rPr>
          <w:rFonts w:ascii="Verdana" w:eastAsia="Times New Roman" w:hAnsi="Verdana" w:cs="Times New Roman"/>
          <w:color w:val="1D1D1D"/>
          <w:sz w:val="19"/>
          <w:szCs w:val="19"/>
          <w:lang w:eastAsia="it-IT"/>
        </w:rPr>
        <w:t xml:space="preserve"> - 1. Le regioni disciplinano le modalità con le quali i comuni dispongono gli interventi per consentire alle persone handicappate la possibilità di muoversi liberamente sul territorio, usufruendo, alle stesse condizioni degli altri cittadini, dei servizi di trasporto collettivo appositamente adattati o di servizi alternativi.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2. I comuni assicurano, nell'ambito delle proprie ordinarie risorse di bilancio, modalità di trasporto individuali per le persone handicappate non in grado di servirsi dei mezzi pubblici.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Entro sei mesi dalla data di entrata in vigore della presente legge, le regioni elaborano, nell'ambito dei piani regionali di trasporto e dei piani di adeguamento delle infrastrutture urbane, piani di mobilità delle persone handicappate da attuare anche mediante la conclusione di accordi di programma ai sensi dell'articolo 27 della </w:t>
      </w:r>
      <w:hyperlink r:id="rId48" w:anchor="a27" w:history="1">
        <w:r w:rsidRPr="00DE336C">
          <w:rPr>
            <w:rFonts w:ascii="Verdana" w:eastAsia="Times New Roman" w:hAnsi="Verdana" w:cs="Times New Roman"/>
            <w:color w:val="761633"/>
            <w:sz w:val="19"/>
            <w:szCs w:val="19"/>
            <w:u w:val="single"/>
            <w:lang w:eastAsia="it-IT"/>
          </w:rPr>
          <w:t>legge 8 giugno 1990, n. 142</w:t>
        </w:r>
      </w:hyperlink>
      <w:r w:rsidRPr="00DE336C">
        <w:rPr>
          <w:rFonts w:ascii="Verdana" w:eastAsia="Times New Roman" w:hAnsi="Verdana" w:cs="Times New Roman"/>
          <w:color w:val="1D1D1D"/>
          <w:sz w:val="19"/>
          <w:szCs w:val="19"/>
          <w:lang w:eastAsia="it-IT"/>
        </w:rPr>
        <w:t>. I suddetti piani prevedono servizi alternativi per le zone non coperte dai servizi di trasporto collettivo. Fino alla completa attuazione dei piani, le regioni e gli enti locali assicurano i servizi già istituiti. I piani di mobilità delle persone handicappate predisposti dalle regioni sono coordinati con i piani di trasporto predisposti dai comuni.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4. Una quota non inferiore all'1 per cento dell'ammontare dei mutui autorizzati a favore dell'Ente ferrovie dello Stato è destinata agli interventi per l'eliminazione delle barriere architettoniche nelle strutture edilizie e nel materiale rotabile appartenenti all'Ente medesimo, attraverso capitolati d'appalto formati sulla base dell'articolo 20 del regolamento approvato con </w:t>
      </w:r>
      <w:hyperlink r:id="rId49" w:history="1">
        <w:r w:rsidRPr="00DE336C">
          <w:rPr>
            <w:rFonts w:ascii="Verdana" w:eastAsia="Times New Roman" w:hAnsi="Verdana" w:cs="Times New Roman"/>
            <w:color w:val="761633"/>
            <w:sz w:val="19"/>
            <w:szCs w:val="19"/>
            <w:u w:val="single"/>
            <w:lang w:eastAsia="it-IT"/>
          </w:rPr>
          <w:t>decreto del Presidente della Repubblica 27 aprile 1978, n. 384</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Entro un anno dalla data di entrata in vigore della presente legge, il Ministro dei trasporti provvede alla omologazione di almeno un prototipo di autobus urbano ed extraurbano, di taxi, di vagone ferroviario, conformemente alle finalità della presente legge.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Sulla base dei piani regionali e della verifica della funzionalità dei prototipi omologati di cui al comma 5, il Ministro dei trasporti predispone i capitolati d'appalto contenenti prescrizioni per adeguare alle finalità della presente legge i mezzi di trasporto su gomma in corrispondenza con la loro sostituzione.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6" w:name="a27"/>
      <w:bookmarkEnd w:id="26"/>
      <w:r w:rsidRPr="00DE336C">
        <w:rPr>
          <w:rFonts w:ascii="Verdana" w:eastAsia="Times New Roman" w:hAnsi="Verdana" w:cs="Times New Roman"/>
          <w:b/>
          <w:bCs/>
          <w:color w:val="1D1D1D"/>
          <w:sz w:val="19"/>
          <w:szCs w:val="19"/>
          <w:lang w:eastAsia="it-IT"/>
        </w:rPr>
        <w:t>27. Trasporti individuali.</w:t>
      </w:r>
      <w:r w:rsidRPr="00DE336C">
        <w:rPr>
          <w:rFonts w:ascii="Verdana" w:eastAsia="Times New Roman" w:hAnsi="Verdana" w:cs="Times New Roman"/>
          <w:color w:val="1D1D1D"/>
          <w:sz w:val="19"/>
          <w:szCs w:val="19"/>
          <w:lang w:eastAsia="it-IT"/>
        </w:rPr>
        <w:t xml:space="preserve"> - 1. A favore dei titolari di patente di guida delle categorie A, B, o C speciali, con incapacità motorie permanenti, le unità sanitarie locali contribuiscono alla spesa per la modifica degli strumenti di guida, quale strumento protesico extra-tariffario, nella misura del 20 per cento, a carico del bilancio dello Stato.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Al comma 1 dell'articolo 1 della </w:t>
      </w:r>
      <w:hyperlink r:id="rId50" w:history="1">
        <w:r w:rsidRPr="00DE336C">
          <w:rPr>
            <w:rFonts w:ascii="Verdana" w:eastAsia="Times New Roman" w:hAnsi="Verdana" w:cs="Times New Roman"/>
            <w:color w:val="761633"/>
            <w:sz w:val="19"/>
            <w:szCs w:val="19"/>
            <w:u w:val="single"/>
            <w:lang w:eastAsia="it-IT"/>
          </w:rPr>
          <w:t>legge 9 aprile 1986, n. 97</w:t>
        </w:r>
      </w:hyperlink>
      <w:r w:rsidRPr="00DE336C">
        <w:rPr>
          <w:rFonts w:ascii="Verdana" w:eastAsia="Times New Roman" w:hAnsi="Verdana" w:cs="Times New Roman"/>
          <w:color w:val="1D1D1D"/>
          <w:sz w:val="19"/>
          <w:szCs w:val="19"/>
          <w:lang w:eastAsia="it-IT"/>
        </w:rPr>
        <w:t>, sono soppresse le parole: ", titolari di patente F" e dopo le parole: "capacità motorie," sono aggiunte le seguenti: "anche prodotti in serie,".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Dopo il comma 2 dell'articolo 1 della citata legge numero 97 del 1986, è inserito il seguente: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"2-bis. Il beneficio della riduzione dell'aliquota relativa all'imposta sul valore aggiunto, di cui al comma 1, decade qualora l'invalido non abbia conseguito la patente di guida delle categorie A, B o C speciali, entro un anno dalla data dell'acquisto del veicolo. Entro i successivi tre mesi l'invalido provvede al versamento della differenza tra l'imposta sul valore aggiunto pagata e l'imposta relativa all'aliquota in vigore per il veicolo acquistato."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4. Il Comitato tecnico di cui all'articolo 81, comma 9, del testo unico delle norme sulla disciplina della circolazione stradale, approvato con decreto del Presidente della Repubblica 15 giugno 1959, n. 393, come sostituito dall'articolo 4, comma 1, della legge 18 marzo 1988, n. 111, è integrato da due rappresentanti delle associazioni delle persone handicappate nominati dal Ministro dei trasporti su proposta del Comitato di cui all'articolo 41 della presente legge.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Le unità sanitarie locali trasmettono le domande presentate dai soggetti di cui al comma 1 ad un apposito fondo, istituito presso il Ministero della sanità, che provvede ad erogare i contributi nei limiti dell'autorizzazione di spesa di cui all'articolo 42.</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7" w:name="a28"/>
      <w:bookmarkEnd w:id="27"/>
      <w:r w:rsidRPr="00DE336C">
        <w:rPr>
          <w:rFonts w:ascii="Verdana" w:eastAsia="Times New Roman" w:hAnsi="Verdana" w:cs="Times New Roman"/>
          <w:b/>
          <w:bCs/>
          <w:color w:val="1D1D1D"/>
          <w:sz w:val="19"/>
          <w:szCs w:val="19"/>
          <w:lang w:eastAsia="it-IT"/>
        </w:rPr>
        <w:t>28. Facilitazioni per i veicoli delle persone handicappate.</w:t>
      </w:r>
      <w:r w:rsidRPr="00DE336C">
        <w:rPr>
          <w:rFonts w:ascii="Verdana" w:eastAsia="Times New Roman" w:hAnsi="Verdana" w:cs="Times New Roman"/>
          <w:color w:val="1D1D1D"/>
          <w:sz w:val="19"/>
          <w:szCs w:val="19"/>
          <w:lang w:eastAsia="it-IT"/>
        </w:rPr>
        <w:t xml:space="preserve"> - 1. I comuni assicurano appositi spazi riservati ai veicoli delle persone handicappate, sia nei parcheggi gestiti direttamente o dati in concessione, sia in quelli realizzati e gestiti da privati.</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Il contrassegno di cui all'articolo 6 del regolamento approvato con </w:t>
      </w:r>
      <w:hyperlink r:id="rId51" w:history="1">
        <w:r w:rsidRPr="00DE336C">
          <w:rPr>
            <w:rFonts w:ascii="Verdana" w:eastAsia="Times New Roman" w:hAnsi="Verdana" w:cs="Times New Roman"/>
            <w:color w:val="761633"/>
            <w:sz w:val="19"/>
            <w:szCs w:val="19"/>
            <w:u w:val="single"/>
            <w:lang w:eastAsia="it-IT"/>
          </w:rPr>
          <w:t>decreto del Presidente della Repubblica 27 aprile 1978, n. 384</w:t>
        </w:r>
      </w:hyperlink>
      <w:r w:rsidRPr="00DE336C">
        <w:rPr>
          <w:rFonts w:ascii="Verdana" w:eastAsia="Times New Roman" w:hAnsi="Verdana" w:cs="Times New Roman"/>
          <w:color w:val="1D1D1D"/>
          <w:sz w:val="19"/>
          <w:szCs w:val="19"/>
          <w:lang w:eastAsia="it-IT"/>
        </w:rPr>
        <w:t>, che deve essere apposto visibilmente sul parabrezza del veicolo, è valido per l'utilizzazione dei parcheggi di cui al comma 1.</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28" w:name="a29"/>
      <w:bookmarkEnd w:id="28"/>
      <w:r w:rsidRPr="00DE336C">
        <w:rPr>
          <w:rFonts w:ascii="Verdana" w:eastAsia="Times New Roman" w:hAnsi="Verdana" w:cs="Times New Roman"/>
          <w:b/>
          <w:bCs/>
          <w:color w:val="1D1D1D"/>
          <w:sz w:val="19"/>
          <w:szCs w:val="19"/>
          <w:lang w:eastAsia="it-IT"/>
        </w:rPr>
        <w:t>29. Esercizio del diritto di voto.</w:t>
      </w:r>
      <w:r w:rsidRPr="00DE336C">
        <w:rPr>
          <w:rFonts w:ascii="Verdana" w:eastAsia="Times New Roman" w:hAnsi="Verdana" w:cs="Times New Roman"/>
          <w:color w:val="1D1D1D"/>
          <w:sz w:val="19"/>
          <w:szCs w:val="19"/>
          <w:lang w:eastAsia="it-IT"/>
        </w:rPr>
        <w:t xml:space="preserve"> - 1. In occasione di consultazioni elettorali, i comuni organizzano i servizi di trasporto pubblico in modo da facilitare agli elettori handicappati il raggiungimento del seggio elettorale.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 </w:t>
      </w:r>
      <w:hyperlink r:id="rId52" w:history="1">
        <w:r w:rsidRPr="00DE336C">
          <w:rPr>
            <w:rFonts w:ascii="Verdana" w:eastAsia="Times New Roman" w:hAnsi="Verdana" w:cs="Times New Roman"/>
            <w:color w:val="761633"/>
            <w:sz w:val="19"/>
            <w:szCs w:val="19"/>
            <w:u w:val="single"/>
            <w:lang w:eastAsia="it-IT"/>
          </w:rPr>
          <w:t>legge 15 gennaio 1991, n. 15</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Un accompagnatore di fiducia segue in cabina i cittadini handicappati impossibilitati ad esercitare autonomamente il diritto di voto. L'accompagnatore deve essere iscritto nelle liste elettorali. Nessun elettore può esercitare la funzione di accompagnatore per più di un handicappato. Sul certificato elettorale dell'accompagnatore è fatta apposita annotazione dal presidente del seggio nel quale egli ha assolto tale compito.</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29" w:name="a30"/>
      <w:bookmarkEnd w:id="29"/>
      <w:r w:rsidRPr="00DE336C">
        <w:rPr>
          <w:rFonts w:ascii="Verdana" w:eastAsia="Times New Roman" w:hAnsi="Verdana" w:cs="Times New Roman"/>
          <w:b/>
          <w:bCs/>
          <w:color w:val="1D1D1D"/>
          <w:sz w:val="19"/>
          <w:szCs w:val="19"/>
          <w:lang w:eastAsia="it-IT"/>
        </w:rPr>
        <w:t>30. Partecipazione.</w:t>
      </w:r>
      <w:r w:rsidRPr="00DE336C">
        <w:rPr>
          <w:rFonts w:ascii="Verdana" w:eastAsia="Times New Roman" w:hAnsi="Verdana" w:cs="Times New Roman"/>
          <w:color w:val="1D1D1D"/>
          <w:sz w:val="19"/>
          <w:szCs w:val="19"/>
          <w:lang w:eastAsia="it-IT"/>
        </w:rPr>
        <w:t xml:space="preserve"> - 1. Le regioni per la redazione dei programmi di promozione e di tutela dei diritti della persona handicappata, prevedono forme di consultazione che garantiscono la partecipazione dei cittadini interessati.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0" w:name="a31"/>
      <w:bookmarkEnd w:id="30"/>
      <w:r w:rsidRPr="00DE336C">
        <w:rPr>
          <w:rFonts w:ascii="Verdana" w:eastAsia="Times New Roman" w:hAnsi="Verdana" w:cs="Times New Roman"/>
          <w:b/>
          <w:bCs/>
          <w:color w:val="1D1D1D"/>
          <w:sz w:val="19"/>
          <w:szCs w:val="19"/>
          <w:lang w:eastAsia="it-IT"/>
        </w:rPr>
        <w:t>31. Riserva di alloggi.</w:t>
      </w:r>
      <w:r w:rsidRPr="00DE336C">
        <w:rPr>
          <w:rFonts w:ascii="Verdana" w:eastAsia="Times New Roman" w:hAnsi="Verdana" w:cs="Times New Roman"/>
          <w:color w:val="1D1D1D"/>
          <w:sz w:val="19"/>
          <w:szCs w:val="19"/>
          <w:lang w:eastAsia="it-IT"/>
        </w:rPr>
        <w:t xml:space="preserve"> - 1 All'articolo 3, primo comma della Legge 5 agosto 1978, n. 457 e successive modificazioni, è aggiunta, in fine, la seguente lettera: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"r-bis) dispone una riserva di finanziamenti complessivi per la concessione di contributi in conto capitale a comuni, Istituti autonomi case popolari, comunque denominati o trasformati, imprese, cooperative o loro consorzi per la realizzazione con tipologia idonea o per l'adattamento di alloggi di </w:t>
      </w:r>
      <w:r w:rsidRPr="00DE336C">
        <w:rPr>
          <w:rFonts w:ascii="Verdana" w:eastAsia="Times New Roman" w:hAnsi="Verdana" w:cs="Times New Roman"/>
          <w:color w:val="1D1D1D"/>
          <w:sz w:val="19"/>
          <w:szCs w:val="19"/>
          <w:lang w:eastAsia="it-IT"/>
        </w:rPr>
        <w:lastRenderedPageBreak/>
        <w:t xml:space="preserve">edilizia sovvenzionata e agevolata alle esigenze di assegnatari o acquirenti handicappati ovvero ai nuclei familiari assegnatari di abitazioni assistiti da contributo pubblico, tra i cui componenti figurano persone handicappate in situazione di gravità o con ridotte o impedite capacità motorie." </w:t>
      </w:r>
      <w:r w:rsidRPr="00DE336C">
        <w:rPr>
          <w:rFonts w:ascii="Verdana" w:eastAsia="Times New Roman" w:hAnsi="Verdana" w:cs="Times New Roman"/>
          <w:i/>
          <w:iCs/>
          <w:color w:val="1D1D1D"/>
          <w:sz w:val="19"/>
          <w:szCs w:val="19"/>
          <w:lang w:eastAsia="it-IT"/>
        </w:rPr>
        <w:t>(4)</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Il contributo di cui alla lettera r-bis) del primo comma dell'articolo 3 della legge 5 agosto 1978, n. 457, introdotta dal comma 1 del presente articolo, è concesso dal Comitato esecutivo del CER direttamente ai comuni, agli Istituti autonomi case popolari, alle imprese, alle cooperative o loro consorzi indicati dalle regioni sulla base delle assegnazioni e degli acquisti, mediante atto preliminare di vendita di alloggi realizzati con finanziamenti pubblici e fruenti di contributo pubblico.] </w:t>
      </w:r>
      <w:r w:rsidRPr="00DE336C">
        <w:rPr>
          <w:rFonts w:ascii="Verdana" w:eastAsia="Times New Roman" w:hAnsi="Verdana" w:cs="Times New Roman"/>
          <w:i/>
          <w:iCs/>
          <w:color w:val="1D1D1D"/>
          <w:sz w:val="19"/>
          <w:szCs w:val="19"/>
          <w:lang w:eastAsia="it-IT"/>
        </w:rPr>
        <w:t>(5)</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Il contributo di cui al comma 2 può essere concesso con le modalità indicate nello stesso comma, direttamente agli enti e istituti statali, assicurativi e bancari che realizzano interventi nel campo dell'edilizia abitativa che ne facciano richiesta per l'adattamento di alloggi di loro proprietà da concedere in locazione a persone handicappate ovvero ai nuclei familiari tra i cui componenti figurano persone handicappate in situazione di gravità o con ridotte o impedite capacità motorie.] </w:t>
      </w:r>
      <w:r w:rsidRPr="00DE336C">
        <w:rPr>
          <w:rFonts w:ascii="Verdana" w:eastAsia="Times New Roman" w:hAnsi="Verdana" w:cs="Times New Roman"/>
          <w:i/>
          <w:iCs/>
          <w:color w:val="1D1D1D"/>
          <w:sz w:val="19"/>
          <w:szCs w:val="19"/>
          <w:lang w:eastAsia="it-IT"/>
        </w:rPr>
        <w:t>(5)</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[4. Le associazioni presenti sul territorio, le regioni, le unità sanitarie locali, i comuni sono tenuti a fornire al CER, entro il 31 dicembre di ogni anno, ogni informazione utile per la determinazione della quota di riserva di cui alla citata lettera r-bis) del primo comma dell'articolo 3 della legge 5 agosto 1978, n. 457.] </w:t>
      </w:r>
      <w:r w:rsidRPr="00DE336C">
        <w:rPr>
          <w:rFonts w:ascii="Verdana" w:eastAsia="Times New Roman" w:hAnsi="Verdana" w:cs="Times New Roman"/>
          <w:i/>
          <w:iCs/>
          <w:color w:val="1D1D1D"/>
          <w:sz w:val="19"/>
          <w:szCs w:val="19"/>
          <w:lang w:eastAsia="it-IT"/>
        </w:rPr>
        <w:t>(5)</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i/>
          <w:iCs/>
          <w:color w:val="1D1D1D"/>
          <w:sz w:val="19"/>
          <w:szCs w:val="19"/>
          <w:lang w:eastAsia="it-IT"/>
        </w:rPr>
        <w:t>(4) La lettera r bis) è stata così modificata dall'articolo 2 comma 3 della Legge 30 aprile 1999, n. 136</w:t>
      </w:r>
      <w:r w:rsidRPr="00DE336C">
        <w:rPr>
          <w:rFonts w:ascii="Verdana" w:eastAsia="Times New Roman" w:hAnsi="Verdana" w:cs="Times New Roman"/>
          <w:i/>
          <w:iCs/>
          <w:color w:val="1D1D1D"/>
          <w:sz w:val="19"/>
          <w:szCs w:val="19"/>
          <w:lang w:eastAsia="it-IT"/>
        </w:rPr>
        <w:br/>
        <w:t>(5) I commi 2, 3, 4, sono stati abrogati dall'articolo 14, comma 2 della Legge 30 aprile 1999, n. 136</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1" w:name="a32"/>
      <w:bookmarkEnd w:id="31"/>
      <w:r w:rsidRPr="00DE336C">
        <w:rPr>
          <w:rFonts w:ascii="Verdana" w:eastAsia="Times New Roman" w:hAnsi="Verdana" w:cs="Times New Roman"/>
          <w:b/>
          <w:bCs/>
          <w:color w:val="1D1D1D"/>
          <w:sz w:val="19"/>
          <w:szCs w:val="19"/>
          <w:lang w:eastAsia="it-IT"/>
        </w:rPr>
        <w:t>32. Agevolazioni fiscali.</w:t>
      </w:r>
      <w:r w:rsidRPr="00DE336C">
        <w:rPr>
          <w:rFonts w:ascii="Verdana" w:eastAsia="Times New Roman" w:hAnsi="Verdana" w:cs="Times New Roman"/>
          <w:color w:val="1D1D1D"/>
          <w:sz w:val="19"/>
          <w:szCs w:val="19"/>
          <w:lang w:eastAsia="it-IT"/>
        </w:rPr>
        <w:t xml:space="preserve"> - [1. Le spese mediche e quelle di assistenza specifica necessarie nei casi di grave e permanente invalidità e menomazione, per la parte del loro ammontare complessivo che eccede il 5 o il 10 per cento del reddito complessivo annuo dichiarato a seconda che questo sia o meno superiore a 15 milioni di lire, sono deducibili dal reddito complessivo del contribuente che ha sostenuto gli oneri per </w:t>
      </w:r>
      <w:proofErr w:type="spellStart"/>
      <w:r w:rsidRPr="00DE336C">
        <w:rPr>
          <w:rFonts w:ascii="Verdana" w:eastAsia="Times New Roman" w:hAnsi="Verdana" w:cs="Times New Roman"/>
          <w:color w:val="1D1D1D"/>
          <w:sz w:val="19"/>
          <w:szCs w:val="19"/>
          <w:lang w:eastAsia="it-IT"/>
        </w:rPr>
        <w:t>sè</w:t>
      </w:r>
      <w:proofErr w:type="spellEnd"/>
      <w:r w:rsidRPr="00DE336C">
        <w:rPr>
          <w:rFonts w:ascii="Verdana" w:eastAsia="Times New Roman" w:hAnsi="Verdana" w:cs="Times New Roman"/>
          <w:color w:val="1D1D1D"/>
          <w:sz w:val="19"/>
          <w:szCs w:val="19"/>
          <w:lang w:eastAsia="it-IT"/>
        </w:rPr>
        <w:t xml:space="preserve"> o per le persone indicate nell'articolo 433 del codice civile, purché dalla documentazione risulti chi ha sostenuto effettivamente la spesa, la persona da assistere perché invalida e il domicilio o la residenza del percipiente] </w:t>
      </w:r>
      <w:r w:rsidRPr="00DE336C">
        <w:rPr>
          <w:rFonts w:ascii="Verdana" w:eastAsia="Times New Roman" w:hAnsi="Verdana" w:cs="Times New Roman"/>
          <w:i/>
          <w:iCs/>
          <w:color w:val="1D1D1D"/>
          <w:sz w:val="19"/>
          <w:szCs w:val="19"/>
          <w:lang w:eastAsia="it-IT"/>
        </w:rPr>
        <w:t>(6)</w:t>
      </w:r>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(6) Abrogato dall'art. 2, D.L. 31 maggio 1994, n. 330, convertito dall'articolo 1 comma 1 della legge 27 luglio 1994, n. 473</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2" w:name="a33"/>
      <w:bookmarkEnd w:id="32"/>
      <w:r w:rsidRPr="00DE336C">
        <w:rPr>
          <w:rFonts w:ascii="Verdana" w:eastAsia="Times New Roman" w:hAnsi="Verdana" w:cs="Times New Roman"/>
          <w:b/>
          <w:bCs/>
          <w:color w:val="1D1D1D"/>
          <w:sz w:val="19"/>
          <w:szCs w:val="19"/>
          <w:lang w:eastAsia="it-IT"/>
        </w:rPr>
        <w:lastRenderedPageBreak/>
        <w:t>33. Agevolazioni.</w:t>
      </w:r>
      <w:r w:rsidRPr="00DE336C">
        <w:rPr>
          <w:rFonts w:ascii="Verdana" w:eastAsia="Times New Roman" w:hAnsi="Verdana" w:cs="Times New Roman"/>
          <w:color w:val="1D1D1D"/>
          <w:sz w:val="19"/>
          <w:szCs w:val="19"/>
          <w:lang w:eastAsia="it-IT"/>
        </w:rPr>
        <w:t xml:space="preserve"> - [1. La lavoratrice madre o, in alternativa, il lavoratore padre, anche adottivi, di minore con handicap in situazione di gravità accertata ai sensi dell'articolo 4, comma 1, hanno diritto al prolungamento fino a tre anni del periodo di astensione facoltativa dal lavoro di cui all'articolo 7 della </w:t>
      </w:r>
      <w:hyperlink r:id="rId53" w:anchor="a7" w:history="1">
        <w:r w:rsidRPr="00DE336C">
          <w:rPr>
            <w:rFonts w:ascii="Verdana" w:eastAsia="Times New Roman" w:hAnsi="Verdana" w:cs="Times New Roman"/>
            <w:color w:val="761633"/>
            <w:sz w:val="19"/>
            <w:szCs w:val="19"/>
            <w:u w:val="single"/>
            <w:lang w:eastAsia="it-IT"/>
          </w:rPr>
          <w:t>legge 30 dicembre 1971, n. 1204</w:t>
        </w:r>
      </w:hyperlink>
      <w:r w:rsidRPr="00DE336C">
        <w:rPr>
          <w:rFonts w:ascii="Verdana" w:eastAsia="Times New Roman" w:hAnsi="Verdana" w:cs="Times New Roman"/>
          <w:color w:val="1D1D1D"/>
          <w:sz w:val="19"/>
          <w:szCs w:val="19"/>
          <w:lang w:eastAsia="it-IT"/>
        </w:rPr>
        <w:t xml:space="preserve">, a condizione che il bambino non sia ricoverato a tempo pieno presso istituti specializzati.] </w:t>
      </w:r>
      <w:r w:rsidRPr="00DE336C">
        <w:rPr>
          <w:rFonts w:ascii="Verdana" w:eastAsia="Times New Roman" w:hAnsi="Verdana" w:cs="Times New Roman"/>
          <w:i/>
          <w:iCs/>
          <w:color w:val="1D1D1D"/>
          <w:sz w:val="19"/>
          <w:szCs w:val="19"/>
          <w:lang w:eastAsia="it-IT"/>
        </w:rPr>
        <w:t>(7quinquies)</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I soggetti di cui al comma 1 possono chiedere ai rispettivi datori di lavoro di usufruire, in alternativa al prolungamento fino a tre anni del periodo di astensione facoltativa, di due ore di permesso giornaliero retribuito fino al compimento del terzo anno di vita del bambino.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Successivamente al compimento del terzo anno di vita del bambino, la lavoratrice madre o, in alternativa, il lavoratore padre, anche adottivi, di minore con handicap in situazione di gravità, nonché colui che assiste una persona con handicap in situazione di gravità parente o affine entro il terzo grado, convivente, hanno diritto a tre giorni di permesso mensile coperti da contribuzione figurativa, fruibili anche in maniera continuativa a condizione che la persona con handicap in situazione di gravità non sia ricoverata a tempo pieno. (7) (7bis)</w:t>
      </w:r>
      <w:r w:rsidRPr="00DE336C">
        <w:rPr>
          <w:rFonts w:ascii="Verdana" w:eastAsia="Times New Roman" w:hAnsi="Verdana" w:cs="Times New Roman"/>
          <w:i/>
          <w:iCs/>
          <w:color w:val="1D1D1D"/>
          <w:sz w:val="19"/>
          <w:szCs w:val="19"/>
          <w:lang w:eastAsia="it-IT"/>
        </w:rPr>
        <w:t>(7quater)</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4. Ai permessi di cui ai commi 2 e 3, che si cumulano con quelli previsti all'articolo 7 della citata </w:t>
      </w:r>
      <w:hyperlink r:id="rId54" w:anchor="a7" w:history="1">
        <w:r w:rsidRPr="00DE336C">
          <w:rPr>
            <w:rFonts w:ascii="Verdana" w:eastAsia="Times New Roman" w:hAnsi="Verdana" w:cs="Times New Roman"/>
            <w:color w:val="761633"/>
            <w:sz w:val="19"/>
            <w:szCs w:val="19"/>
            <w:u w:val="single"/>
            <w:lang w:eastAsia="it-IT"/>
          </w:rPr>
          <w:t>legge n. 1204 del 1971</w:t>
        </w:r>
      </w:hyperlink>
      <w:r w:rsidRPr="00DE336C">
        <w:rPr>
          <w:rFonts w:ascii="Verdana" w:eastAsia="Times New Roman" w:hAnsi="Verdana" w:cs="Times New Roman"/>
          <w:color w:val="1D1D1D"/>
          <w:sz w:val="19"/>
          <w:szCs w:val="19"/>
          <w:lang w:eastAsia="it-IT"/>
        </w:rPr>
        <w:t xml:space="preserve">, si applicano le disposizioni di cui all'ultimo comma del medesimo articolo 7 della legge n. 1204 del 1971, nonché quelle contenute negli articoli 7 e 8 della legge 9 dicembre 1977, n. 903. </w:t>
      </w:r>
      <w:r w:rsidRPr="00DE336C">
        <w:rPr>
          <w:rFonts w:ascii="Verdana" w:eastAsia="Times New Roman" w:hAnsi="Verdana" w:cs="Times New Roman"/>
          <w:i/>
          <w:iCs/>
          <w:color w:val="1D1D1D"/>
          <w:sz w:val="19"/>
          <w:szCs w:val="19"/>
          <w:lang w:eastAsia="it-IT"/>
        </w:rPr>
        <w:t>(7quater)</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Il genitore o il familiare lavoratore, con rapporto di lavoro pubblico o privato, che assista con continuità un parente o un affine entro il terzo grado handicappato ha diritto a scegliere, ove possibile, la sede di lavoro più vicina al proprio domicilio e non può essere trasferito senza il suo consenso ad altra sede. (7bis)</w:t>
      </w:r>
      <w:r w:rsidRPr="00DE336C">
        <w:rPr>
          <w:rFonts w:ascii="Verdana" w:eastAsia="Times New Roman" w:hAnsi="Verdana" w:cs="Times New Roman"/>
          <w:i/>
          <w:iCs/>
          <w:color w:val="1D1D1D"/>
          <w:sz w:val="19"/>
          <w:szCs w:val="19"/>
          <w:lang w:eastAsia="it-IT"/>
        </w:rPr>
        <w:t>(7quater)</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La persona handicappata maggiorenne in situazione di gravità può usufruire alternativamente dei permessi di cui ai commi 2 e 3, ha diritto a scegliere, ove possibile, la sede di lavoro più vicina al proprio domicilio e non può essere trasferita in altra sede, senza il suo consenso. (7bis)</w:t>
      </w:r>
      <w:r w:rsidRPr="00DE336C">
        <w:rPr>
          <w:rFonts w:ascii="Verdana" w:eastAsia="Times New Roman" w:hAnsi="Verdana" w:cs="Times New Roman"/>
          <w:i/>
          <w:iCs/>
          <w:color w:val="1D1D1D"/>
          <w:sz w:val="19"/>
          <w:szCs w:val="19"/>
          <w:lang w:eastAsia="it-IT"/>
        </w:rPr>
        <w:t>(7quater)</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7. Le disposizioni di cui ai commi 1, 2, 3, 4 e 5 si applicano anche agli affidatari di persone handicappate in situazione di gravità. (7ter)</w:t>
      </w:r>
      <w:r w:rsidRPr="00DE336C">
        <w:rPr>
          <w:rFonts w:ascii="Verdana" w:eastAsia="Times New Roman" w:hAnsi="Verdana" w:cs="Times New Roman"/>
          <w:i/>
          <w:iCs/>
          <w:color w:val="1D1D1D"/>
          <w:sz w:val="19"/>
          <w:szCs w:val="19"/>
          <w:lang w:eastAsia="it-IT"/>
        </w:rPr>
        <w:t>(7quater)</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w:t>
      </w:r>
      <w:r w:rsidRPr="00DE336C">
        <w:rPr>
          <w:rFonts w:ascii="Verdana" w:eastAsia="Times New Roman" w:hAnsi="Verdana" w:cs="Times New Roman"/>
          <w:b/>
          <w:bCs/>
          <w:color w:val="1D1D1D"/>
          <w:sz w:val="19"/>
          <w:szCs w:val="19"/>
          <w:lang w:eastAsia="it-IT"/>
        </w:rPr>
        <w:t>Consulta</w:t>
      </w:r>
      <w:r w:rsidRPr="00DE336C">
        <w:rPr>
          <w:rFonts w:ascii="Verdana" w:eastAsia="Times New Roman" w:hAnsi="Verdana" w:cs="Times New Roman"/>
          <w:color w:val="1D1D1D"/>
          <w:sz w:val="19"/>
          <w:szCs w:val="19"/>
          <w:lang w:eastAsia="it-IT"/>
        </w:rPr>
        <w:t xml:space="preserve"> le nostre schede di approfondimento sui </w:t>
      </w:r>
      <w:hyperlink r:id="rId55" w:history="1">
        <w:r w:rsidRPr="00DE336C">
          <w:rPr>
            <w:rFonts w:ascii="Verdana" w:eastAsia="Times New Roman" w:hAnsi="Verdana" w:cs="Times New Roman"/>
            <w:color w:val="761633"/>
            <w:sz w:val="19"/>
            <w:szCs w:val="19"/>
            <w:u w:val="single"/>
            <w:lang w:eastAsia="it-IT"/>
          </w:rPr>
          <w:t>permessi lavorativi</w:t>
        </w:r>
      </w:hyperlink>
      <w:r w:rsidRPr="00DE336C">
        <w:rPr>
          <w:rFonts w:ascii="Verdana" w:eastAsia="Times New Roman" w:hAnsi="Verdana" w:cs="Times New Roman"/>
          <w:color w:val="1D1D1D"/>
          <w:sz w:val="19"/>
          <w:szCs w:val="19"/>
          <w:lang w:eastAsia="it-IT"/>
        </w:rPr>
        <w:t xml:space="preserve"> ]</w:t>
      </w:r>
      <w:r w:rsidRPr="00DE336C">
        <w:rPr>
          <w:rFonts w:ascii="Verdana" w:eastAsia="Times New Roman" w:hAnsi="Verdana" w:cs="Times New Roman"/>
          <w:color w:val="1D1D1D"/>
          <w:sz w:val="19"/>
          <w:szCs w:val="19"/>
          <w:lang w:eastAsia="it-IT"/>
        </w:rPr>
        <w:br/>
        <w:t>[</w:t>
      </w:r>
      <w:r w:rsidRPr="00DE336C">
        <w:rPr>
          <w:rFonts w:ascii="Verdana" w:eastAsia="Times New Roman" w:hAnsi="Verdana" w:cs="Times New Roman"/>
          <w:b/>
          <w:bCs/>
          <w:color w:val="1D1D1D"/>
          <w:sz w:val="19"/>
          <w:szCs w:val="19"/>
          <w:lang w:eastAsia="it-IT"/>
        </w:rPr>
        <w:t>Consulta</w:t>
      </w:r>
      <w:r w:rsidRPr="00DE336C">
        <w:rPr>
          <w:rFonts w:ascii="Verdana" w:eastAsia="Times New Roman" w:hAnsi="Verdana" w:cs="Times New Roman"/>
          <w:color w:val="1D1D1D"/>
          <w:sz w:val="19"/>
          <w:szCs w:val="19"/>
          <w:lang w:eastAsia="it-IT"/>
        </w:rPr>
        <w:t xml:space="preserve"> le nostre schede di approfondimento su </w:t>
      </w:r>
      <w:hyperlink r:id="rId56" w:history="1">
        <w:r w:rsidRPr="00DE336C">
          <w:rPr>
            <w:rFonts w:ascii="Verdana" w:eastAsia="Times New Roman" w:hAnsi="Verdana" w:cs="Times New Roman"/>
            <w:color w:val="761633"/>
            <w:sz w:val="19"/>
            <w:szCs w:val="19"/>
            <w:u w:val="single"/>
            <w:lang w:eastAsia="it-IT"/>
          </w:rPr>
          <w:t>scelta prioritaria della sede e rifiuto al trasferimento</w:t>
        </w:r>
      </w:hyperlink>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(7) L'art. 2, D.L. 27 agosto 1993, n. 324, convertito dalla </w:t>
      </w:r>
      <w:hyperlink r:id="rId57" w:history="1">
        <w:r w:rsidRPr="00DE336C">
          <w:rPr>
            <w:rFonts w:ascii="Verdana" w:eastAsia="Times New Roman" w:hAnsi="Verdana" w:cs="Times New Roman"/>
            <w:i/>
            <w:iCs/>
            <w:color w:val="761633"/>
            <w:sz w:val="19"/>
            <w:szCs w:val="19"/>
            <w:u w:val="single"/>
            <w:lang w:eastAsia="it-IT"/>
          </w:rPr>
          <w:t>legge 27 ottobre 1993, n 423</w:t>
        </w:r>
      </w:hyperlink>
      <w:r w:rsidRPr="00DE336C">
        <w:rPr>
          <w:rFonts w:ascii="Verdana" w:eastAsia="Times New Roman" w:hAnsi="Verdana" w:cs="Times New Roman"/>
          <w:i/>
          <w:iCs/>
          <w:color w:val="1D1D1D"/>
          <w:sz w:val="19"/>
          <w:szCs w:val="19"/>
          <w:lang w:eastAsia="it-IT"/>
        </w:rPr>
        <w:t>, ha fornito l'interpretazione autentica dell'espressione «hanno diritto a tre giorni di permesso mensile».</w:t>
      </w:r>
      <w:r w:rsidRPr="00DE336C">
        <w:rPr>
          <w:rFonts w:ascii="Verdana" w:eastAsia="Times New Roman" w:hAnsi="Verdana" w:cs="Times New Roman"/>
          <w:i/>
          <w:iCs/>
          <w:color w:val="1D1D1D"/>
          <w:sz w:val="19"/>
          <w:szCs w:val="19"/>
          <w:lang w:eastAsia="it-IT"/>
        </w:rPr>
        <w:br/>
        <w:t xml:space="preserve">(7bis) I commi 3, 5 e 6 sono stati così modificati da ultimo dall'articolo </w:t>
      </w:r>
      <w:hyperlink r:id="rId58" w:anchor="a19" w:history="1">
        <w:r w:rsidRPr="00DE336C">
          <w:rPr>
            <w:rFonts w:ascii="Verdana" w:eastAsia="Times New Roman" w:hAnsi="Verdana" w:cs="Times New Roman"/>
            <w:i/>
            <w:iCs/>
            <w:color w:val="761633"/>
            <w:sz w:val="19"/>
            <w:szCs w:val="19"/>
            <w:u w:val="single"/>
            <w:lang w:eastAsia="it-IT"/>
          </w:rPr>
          <w:t>19</w:t>
        </w:r>
      </w:hyperlink>
      <w:r w:rsidRPr="00DE336C">
        <w:rPr>
          <w:rFonts w:ascii="Verdana" w:eastAsia="Times New Roman" w:hAnsi="Verdana" w:cs="Times New Roman"/>
          <w:i/>
          <w:iCs/>
          <w:color w:val="1D1D1D"/>
          <w:sz w:val="19"/>
          <w:szCs w:val="19"/>
          <w:lang w:eastAsia="it-IT"/>
        </w:rPr>
        <w:t xml:space="preserve"> della </w:t>
      </w:r>
      <w:hyperlink r:id="rId59" w:anchor="a19" w:history="1">
        <w:r w:rsidRPr="00DE336C">
          <w:rPr>
            <w:rFonts w:ascii="Verdana" w:eastAsia="Times New Roman" w:hAnsi="Verdana" w:cs="Times New Roman"/>
            <w:i/>
            <w:iCs/>
            <w:color w:val="761633"/>
            <w:sz w:val="19"/>
            <w:szCs w:val="19"/>
            <w:u w:val="single"/>
            <w:lang w:eastAsia="it-IT"/>
          </w:rPr>
          <w:t>legge 8 marzo 2000, n. 53</w:t>
        </w:r>
      </w:hyperlink>
      <w:r w:rsidRPr="00DE336C">
        <w:rPr>
          <w:rFonts w:ascii="Verdana" w:eastAsia="Times New Roman" w:hAnsi="Verdana" w:cs="Times New Roman"/>
          <w:i/>
          <w:iCs/>
          <w:color w:val="1D1D1D"/>
          <w:sz w:val="19"/>
          <w:szCs w:val="19"/>
          <w:lang w:eastAsia="it-IT"/>
        </w:rPr>
        <w:t>.</w:t>
      </w:r>
      <w:r w:rsidRPr="00DE336C">
        <w:rPr>
          <w:rFonts w:ascii="Verdana" w:eastAsia="Times New Roman" w:hAnsi="Verdana" w:cs="Times New Roman"/>
          <w:i/>
          <w:iCs/>
          <w:color w:val="1D1D1D"/>
          <w:sz w:val="19"/>
          <w:szCs w:val="19"/>
          <w:lang w:eastAsia="it-IT"/>
        </w:rPr>
        <w:br/>
        <w:t xml:space="preserve">(7ter) Circa le disposizioni del presente articolo si veda anche l'articolo </w:t>
      </w:r>
      <w:hyperlink r:id="rId60" w:anchor="a20" w:history="1">
        <w:r w:rsidRPr="00DE336C">
          <w:rPr>
            <w:rFonts w:ascii="Verdana" w:eastAsia="Times New Roman" w:hAnsi="Verdana" w:cs="Times New Roman"/>
            <w:i/>
            <w:iCs/>
            <w:color w:val="761633"/>
            <w:sz w:val="19"/>
            <w:szCs w:val="19"/>
            <w:u w:val="single"/>
            <w:lang w:eastAsia="it-IT"/>
          </w:rPr>
          <w:t>20</w:t>
        </w:r>
      </w:hyperlink>
      <w:r w:rsidRPr="00DE336C">
        <w:rPr>
          <w:rFonts w:ascii="Verdana" w:eastAsia="Times New Roman" w:hAnsi="Verdana" w:cs="Times New Roman"/>
          <w:i/>
          <w:iCs/>
          <w:color w:val="1D1D1D"/>
          <w:sz w:val="19"/>
          <w:szCs w:val="19"/>
          <w:lang w:eastAsia="it-IT"/>
        </w:rPr>
        <w:t xml:space="preserve"> della </w:t>
      </w:r>
      <w:hyperlink r:id="rId61" w:anchor="a20" w:history="1">
        <w:r w:rsidRPr="00DE336C">
          <w:rPr>
            <w:rFonts w:ascii="Verdana" w:eastAsia="Times New Roman" w:hAnsi="Verdana" w:cs="Times New Roman"/>
            <w:i/>
            <w:iCs/>
            <w:color w:val="761633"/>
            <w:sz w:val="19"/>
            <w:szCs w:val="19"/>
            <w:u w:val="single"/>
            <w:lang w:eastAsia="it-IT"/>
          </w:rPr>
          <w:t xml:space="preserve">legge 8 marzo </w:t>
        </w:r>
        <w:r w:rsidRPr="00DE336C">
          <w:rPr>
            <w:rFonts w:ascii="Verdana" w:eastAsia="Times New Roman" w:hAnsi="Verdana" w:cs="Times New Roman"/>
            <w:i/>
            <w:iCs/>
            <w:color w:val="761633"/>
            <w:sz w:val="19"/>
            <w:szCs w:val="19"/>
            <w:u w:val="single"/>
            <w:lang w:eastAsia="it-IT"/>
          </w:rPr>
          <w:lastRenderedPageBreak/>
          <w:t>2000, n. 53</w:t>
        </w:r>
      </w:hyperlink>
      <w:r w:rsidRPr="00DE336C">
        <w:rPr>
          <w:rFonts w:ascii="Verdana" w:eastAsia="Times New Roman" w:hAnsi="Verdana" w:cs="Times New Roman"/>
          <w:i/>
          <w:iCs/>
          <w:color w:val="1D1D1D"/>
          <w:sz w:val="19"/>
          <w:szCs w:val="19"/>
          <w:lang w:eastAsia="it-IT"/>
        </w:rPr>
        <w:t>.</w:t>
      </w:r>
      <w:r w:rsidRPr="00DE336C">
        <w:rPr>
          <w:rFonts w:ascii="Verdana" w:eastAsia="Times New Roman" w:hAnsi="Verdana" w:cs="Times New Roman"/>
          <w:i/>
          <w:iCs/>
          <w:color w:val="1D1D1D"/>
          <w:sz w:val="19"/>
          <w:szCs w:val="19"/>
          <w:lang w:eastAsia="it-IT"/>
        </w:rPr>
        <w:br/>
        <w:t xml:space="preserve">(7quater) Circa le misure introdotte dalla legge n. 53/2000 si veda la </w:t>
      </w:r>
      <w:hyperlink r:id="rId62" w:history="1">
        <w:r w:rsidRPr="00DE336C">
          <w:rPr>
            <w:rFonts w:ascii="Verdana" w:eastAsia="Times New Roman" w:hAnsi="Verdana" w:cs="Times New Roman"/>
            <w:i/>
            <w:iCs/>
            <w:color w:val="761633"/>
            <w:sz w:val="19"/>
            <w:szCs w:val="19"/>
            <w:u w:val="single"/>
            <w:lang w:eastAsia="it-IT"/>
          </w:rPr>
          <w:t>circolare INPS 17 luglio 2000, n. 133</w:t>
        </w:r>
      </w:hyperlink>
      <w:r w:rsidRPr="00DE336C">
        <w:rPr>
          <w:rFonts w:ascii="Verdana" w:eastAsia="Times New Roman" w:hAnsi="Verdana" w:cs="Times New Roman"/>
          <w:i/>
          <w:iCs/>
          <w:color w:val="1D1D1D"/>
          <w:sz w:val="19"/>
          <w:szCs w:val="19"/>
          <w:lang w:eastAsia="it-IT"/>
        </w:rPr>
        <w:br/>
        <w:t xml:space="preserve">(7quinquies) Il primo comma dell'articolo 33 è stato abrogato dall'articolo 86 del </w:t>
      </w:r>
      <w:hyperlink r:id="rId63" w:history="1">
        <w:r w:rsidRPr="00DE336C">
          <w:rPr>
            <w:rFonts w:ascii="Verdana" w:eastAsia="Times New Roman" w:hAnsi="Verdana" w:cs="Times New Roman"/>
            <w:i/>
            <w:iCs/>
            <w:color w:val="761633"/>
            <w:sz w:val="19"/>
            <w:szCs w:val="19"/>
            <w:u w:val="single"/>
            <w:lang w:eastAsia="it-IT"/>
          </w:rPr>
          <w:t>decreto legislativo 26 marzo 2001, n. 151</w:t>
        </w:r>
      </w:hyperlink>
      <w:r w:rsidRPr="00DE336C">
        <w:rPr>
          <w:rFonts w:ascii="Verdana" w:eastAsia="Times New Roman" w:hAnsi="Verdana" w:cs="Times New Roman"/>
          <w:i/>
          <w:iCs/>
          <w:color w:val="1D1D1D"/>
          <w:sz w:val="19"/>
          <w:szCs w:val="19"/>
          <w:lang w:eastAsia="it-IT"/>
        </w:rPr>
        <w:t xml:space="preserve">. Si veda ora l'articolo </w:t>
      </w:r>
      <w:hyperlink r:id="rId64" w:anchor="a33" w:history="1">
        <w:r w:rsidRPr="00DE336C">
          <w:rPr>
            <w:rFonts w:ascii="Verdana" w:eastAsia="Times New Roman" w:hAnsi="Verdana" w:cs="Times New Roman"/>
            <w:i/>
            <w:iCs/>
            <w:color w:val="761633"/>
            <w:sz w:val="19"/>
            <w:szCs w:val="19"/>
            <w:u w:val="single"/>
            <w:lang w:eastAsia="it-IT"/>
          </w:rPr>
          <w:t>33</w:t>
        </w:r>
      </w:hyperlink>
      <w:r w:rsidRPr="00DE336C">
        <w:rPr>
          <w:rFonts w:ascii="Verdana" w:eastAsia="Times New Roman" w:hAnsi="Verdana" w:cs="Times New Roman"/>
          <w:i/>
          <w:iCs/>
          <w:color w:val="1D1D1D"/>
          <w:sz w:val="19"/>
          <w:szCs w:val="19"/>
          <w:lang w:eastAsia="it-IT"/>
        </w:rPr>
        <w:t xml:space="preserve"> del decreto citato.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33" w:name="a34"/>
      <w:bookmarkEnd w:id="33"/>
      <w:r w:rsidRPr="00DE336C">
        <w:rPr>
          <w:rFonts w:ascii="Verdana" w:eastAsia="Times New Roman" w:hAnsi="Verdana" w:cs="Times New Roman"/>
          <w:b/>
          <w:bCs/>
          <w:color w:val="1D1D1D"/>
          <w:sz w:val="19"/>
          <w:szCs w:val="19"/>
          <w:lang w:eastAsia="it-IT"/>
        </w:rPr>
        <w:t>34. Protesi e ausili tecnici.</w:t>
      </w:r>
      <w:r w:rsidRPr="00DE336C">
        <w:rPr>
          <w:rFonts w:ascii="Verdana" w:eastAsia="Times New Roman" w:hAnsi="Verdana" w:cs="Times New Roman"/>
          <w:color w:val="1D1D1D"/>
          <w:sz w:val="19"/>
          <w:szCs w:val="19"/>
          <w:lang w:eastAsia="it-IT"/>
        </w:rPr>
        <w:t xml:space="preserve"> - 1. Con decreto del Ministro della sanità da emanare, sentito il Consiglio sanitario nazionale, entro sei mesi dalla data di entrata in vigore della presente legge, nella revisione e ridefinizione del nomenclatore-tariffario delle protesi di cui al terzo comma dell'articolo 26 della legge 23 dicembre 1978, n. 833, vengono inseriti apparecchi e attrezzature elettronici e altri ausili tecnici che permettano di compensare le difficoltà delle persone con handicap fisico o sensoriale.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34" w:name="a35"/>
      <w:bookmarkEnd w:id="34"/>
      <w:r w:rsidRPr="00DE336C">
        <w:rPr>
          <w:rFonts w:ascii="Verdana" w:eastAsia="Times New Roman" w:hAnsi="Verdana" w:cs="Times New Roman"/>
          <w:b/>
          <w:bCs/>
          <w:color w:val="1D1D1D"/>
          <w:sz w:val="19"/>
          <w:szCs w:val="19"/>
          <w:lang w:eastAsia="it-IT"/>
        </w:rPr>
        <w:t>35. Ricovero del minore handicappato.</w:t>
      </w:r>
      <w:r w:rsidRPr="00DE336C">
        <w:rPr>
          <w:rFonts w:ascii="Verdana" w:eastAsia="Times New Roman" w:hAnsi="Verdana" w:cs="Times New Roman"/>
          <w:color w:val="1D1D1D"/>
          <w:sz w:val="19"/>
          <w:szCs w:val="19"/>
          <w:lang w:eastAsia="it-IT"/>
        </w:rPr>
        <w:t xml:space="preserve"> - 1. Nel caso di ricovero di una persona handicappata di minore età presso un istituto anche a carattere sanitario, pubblico o privato, ove dall'istituto sia segnalato l'abbandono del minore, si applicano le norme di cui alla legge 4 maggio 1983, n. 184.</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5" w:name="a36"/>
      <w:bookmarkEnd w:id="35"/>
      <w:r w:rsidRPr="00DE336C">
        <w:rPr>
          <w:rFonts w:ascii="Verdana" w:eastAsia="Times New Roman" w:hAnsi="Verdana" w:cs="Times New Roman"/>
          <w:b/>
          <w:bCs/>
          <w:color w:val="1D1D1D"/>
          <w:sz w:val="19"/>
          <w:szCs w:val="19"/>
          <w:lang w:eastAsia="it-IT"/>
        </w:rPr>
        <w:t>36. Aggravamento delle sanzioni penali.</w:t>
      </w:r>
      <w:r w:rsidRPr="00DE336C">
        <w:rPr>
          <w:rFonts w:ascii="Verdana" w:eastAsia="Times New Roman" w:hAnsi="Verdana" w:cs="Times New Roman"/>
          <w:color w:val="1D1D1D"/>
          <w:sz w:val="19"/>
          <w:szCs w:val="19"/>
          <w:lang w:eastAsia="it-IT"/>
        </w:rPr>
        <w:t xml:space="preserve"> - 1. Per i reati di cui agli articoli 519, 520, 521, 522, 523, 527 e 628 del codice penale, nonché per i delitti non colposi contro la persona, di cui al titolo XII del libro II del codice penale, e per i reati di cui alla legge 20 febbraio 1958, n. 75, qualora l'offeso sia una persona handicappata la pena è aumentata da un terzo alla metà.</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Per i procedimenti penali per i reati di cui al comma 1 è ammessa la costituzione di parte civile del difensore civico, nonché dell'associazione alla quale risulti iscritta la persona handicappata o un suo familiare.</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bookmarkStart w:id="36" w:name="a37"/>
      <w:bookmarkEnd w:id="36"/>
      <w:r w:rsidRPr="00DE336C">
        <w:rPr>
          <w:rFonts w:ascii="Verdana" w:eastAsia="Times New Roman" w:hAnsi="Verdana" w:cs="Times New Roman"/>
          <w:b/>
          <w:bCs/>
          <w:color w:val="1D1D1D"/>
          <w:sz w:val="19"/>
          <w:szCs w:val="19"/>
          <w:lang w:eastAsia="it-IT"/>
        </w:rPr>
        <w:t>37. Procedimento penale in cui sia interessata una persona handicappata.</w:t>
      </w:r>
      <w:r w:rsidRPr="00DE336C">
        <w:rPr>
          <w:rFonts w:ascii="Verdana" w:eastAsia="Times New Roman" w:hAnsi="Verdana" w:cs="Times New Roman"/>
          <w:color w:val="1D1D1D"/>
          <w:sz w:val="19"/>
          <w:szCs w:val="19"/>
          <w:lang w:eastAsia="it-IT"/>
        </w:rPr>
        <w:t xml:space="preserve"> - 1. Il Ministro di grazia e giustizia, il Ministro dell'interno e il Ministro della difesa, ciascuno nell'ambito delle proprie competenze, disciplinano con proprio decreto le modalità di tutela della persona handicappata, in relazione alle sue esigenze terapeutiche e di comunicazione, all'interno dei locali di sicurezza, nel corso dei procedimenti giudiziari penali e nei luoghi di custodia preventiva e di espiazione della pena.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7" w:name="a38"/>
      <w:bookmarkEnd w:id="37"/>
      <w:r w:rsidRPr="00DE336C">
        <w:rPr>
          <w:rFonts w:ascii="Verdana" w:eastAsia="Times New Roman" w:hAnsi="Verdana" w:cs="Times New Roman"/>
          <w:b/>
          <w:bCs/>
          <w:color w:val="1D1D1D"/>
          <w:sz w:val="19"/>
          <w:szCs w:val="19"/>
          <w:lang w:eastAsia="it-IT"/>
        </w:rPr>
        <w:t>38. Convenzioni.</w:t>
      </w:r>
      <w:r w:rsidRPr="00DE336C">
        <w:rPr>
          <w:rFonts w:ascii="Verdana" w:eastAsia="Times New Roman" w:hAnsi="Verdana" w:cs="Times New Roman"/>
          <w:color w:val="1D1D1D"/>
          <w:sz w:val="19"/>
          <w:szCs w:val="19"/>
          <w:lang w:eastAsia="it-IT"/>
        </w:rPr>
        <w:t xml:space="preserve"> - 1. Per fornire i servizi di cui alla presente legge i comuni, anche consorziati tra loro, le loro unioni, le comunità montane e le unità sanitarie locali per la parte di loro competenza, si avvalgono delle strutture e dei servizi di cui all'articolo 26 della </w:t>
      </w:r>
      <w:hyperlink r:id="rId65" w:anchor="a26"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Possono inoltre avvalersi dell'opera di associazioni riconosciute e non riconosciute, di istituzioni private di assistenza non aventi scopo di lucro e di cooperative, sempreché siano idonee per i livelli delle prestazioni, per la qualificazione del personale e per l'efficienza organizzativa ed operativa, mediante la conclusione di apposite convenzioni.</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 xml:space="preserve">2. I comuni, anche consorziati tra loro, le loro unioni, le comunità montane, rilevata la presenza di associazioni in favore di persone handicappate, che intendano costituire cooperative di servizi o comunità-alloggio o centri </w:t>
      </w:r>
      <w:proofErr w:type="spellStart"/>
      <w:r w:rsidRPr="00DE336C">
        <w:rPr>
          <w:rFonts w:ascii="Verdana" w:eastAsia="Times New Roman" w:hAnsi="Verdana" w:cs="Times New Roman"/>
          <w:color w:val="1D1D1D"/>
          <w:sz w:val="19"/>
          <w:szCs w:val="19"/>
          <w:lang w:eastAsia="it-IT"/>
        </w:rPr>
        <w:t>socioriabilitativi</w:t>
      </w:r>
      <w:proofErr w:type="spellEnd"/>
      <w:r w:rsidRPr="00DE336C">
        <w:rPr>
          <w:rFonts w:ascii="Verdana" w:eastAsia="Times New Roman" w:hAnsi="Verdana" w:cs="Times New Roman"/>
          <w:color w:val="1D1D1D"/>
          <w:sz w:val="19"/>
          <w:szCs w:val="19"/>
          <w:lang w:eastAsia="it-IT"/>
        </w:rPr>
        <w:t xml:space="preserve"> senza fini di lucro, possono erogare contributi che consentano di realizzare tali iniziative per i fini previsti dal comma 1, lettere h), i) e l) dell'articolo 8, previo controllo dell'adeguatezza dei progetti e delle iniziative, in rapporto alle necessità dei soggetti ospiti, secondo i principi della presente legge.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8" w:name="a39"/>
      <w:bookmarkEnd w:id="38"/>
      <w:r w:rsidRPr="00DE336C">
        <w:rPr>
          <w:rFonts w:ascii="Verdana" w:eastAsia="Times New Roman" w:hAnsi="Verdana" w:cs="Times New Roman"/>
          <w:b/>
          <w:bCs/>
          <w:color w:val="1D1D1D"/>
          <w:sz w:val="19"/>
          <w:szCs w:val="19"/>
          <w:lang w:eastAsia="it-IT"/>
        </w:rPr>
        <w:t>39. Compiti delle regioni.</w:t>
      </w:r>
      <w:r w:rsidRPr="00DE336C">
        <w:rPr>
          <w:rFonts w:ascii="Verdana" w:eastAsia="Times New Roman" w:hAnsi="Verdana" w:cs="Times New Roman"/>
          <w:color w:val="1D1D1D"/>
          <w:sz w:val="19"/>
          <w:szCs w:val="19"/>
          <w:lang w:eastAsia="it-IT"/>
        </w:rPr>
        <w:t xml:space="preserve"> - 1. Le regioni possono provvedere, nei limiti delle proprie disponibilità di bilancio, ad interventi sociali, </w:t>
      </w:r>
      <w:proofErr w:type="spellStart"/>
      <w:r w:rsidRPr="00DE336C">
        <w:rPr>
          <w:rFonts w:ascii="Verdana" w:eastAsia="Times New Roman" w:hAnsi="Verdana" w:cs="Times New Roman"/>
          <w:color w:val="1D1D1D"/>
          <w:sz w:val="19"/>
          <w:szCs w:val="19"/>
          <w:lang w:eastAsia="it-IT"/>
        </w:rPr>
        <w:t>educativoformativi</w:t>
      </w:r>
      <w:proofErr w:type="spellEnd"/>
      <w:r w:rsidRPr="00DE336C">
        <w:rPr>
          <w:rFonts w:ascii="Verdana" w:eastAsia="Times New Roman" w:hAnsi="Verdana" w:cs="Times New Roman"/>
          <w:color w:val="1D1D1D"/>
          <w:sz w:val="19"/>
          <w:szCs w:val="19"/>
          <w:lang w:eastAsia="it-IT"/>
        </w:rPr>
        <w:t xml:space="preserve"> e riabilitativi nell'ambito del piano sanitario nazionale, di cui all'articolo 53 della </w:t>
      </w:r>
      <w:hyperlink r:id="rId66" w:anchor="a53" w:history="1">
        <w:r w:rsidRPr="00DE336C">
          <w:rPr>
            <w:rFonts w:ascii="Verdana" w:eastAsia="Times New Roman" w:hAnsi="Verdana" w:cs="Times New Roman"/>
            <w:color w:val="761633"/>
            <w:sz w:val="19"/>
            <w:szCs w:val="19"/>
            <w:u w:val="single"/>
            <w:lang w:eastAsia="it-IT"/>
          </w:rPr>
          <w:t>legge 23 dicembre 1978, n. 833</w:t>
        </w:r>
      </w:hyperlink>
      <w:r w:rsidRPr="00DE336C">
        <w:rPr>
          <w:rFonts w:ascii="Verdana" w:eastAsia="Times New Roman" w:hAnsi="Verdana" w:cs="Times New Roman"/>
          <w:color w:val="1D1D1D"/>
          <w:sz w:val="19"/>
          <w:szCs w:val="19"/>
          <w:lang w:eastAsia="it-IT"/>
        </w:rPr>
        <w:t xml:space="preserve">, e successive modificazioni, e della programmazione regionale dei servizi sanitari, sociali e </w:t>
      </w:r>
      <w:proofErr w:type="spellStart"/>
      <w:r w:rsidRPr="00DE336C">
        <w:rPr>
          <w:rFonts w:ascii="Verdana" w:eastAsia="Times New Roman" w:hAnsi="Verdana" w:cs="Times New Roman"/>
          <w:color w:val="1D1D1D"/>
          <w:sz w:val="19"/>
          <w:szCs w:val="19"/>
          <w:lang w:eastAsia="it-IT"/>
        </w:rPr>
        <w:t>formativo-culturali</w:t>
      </w:r>
      <w:proofErr w:type="spellEnd"/>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Le regioni possono provvedere, sentite le rappresentanze degli enti locali e le principali organizzazioni del privato sociale presenti sul territorio, nei limiti delle proprie disponibilità di bilancio </w:t>
      </w:r>
      <w:r w:rsidRPr="00DE336C">
        <w:rPr>
          <w:rFonts w:ascii="Verdana" w:eastAsia="Times New Roman" w:hAnsi="Verdana" w:cs="Times New Roman"/>
          <w:i/>
          <w:iCs/>
          <w:color w:val="1D1D1D"/>
          <w:sz w:val="19"/>
          <w:szCs w:val="19"/>
          <w:lang w:eastAsia="it-IT"/>
        </w:rPr>
        <w:t>(8)</w:t>
      </w:r>
      <w:r w:rsidRPr="00DE336C">
        <w:rPr>
          <w:rFonts w:ascii="Verdana" w:eastAsia="Times New Roman" w:hAnsi="Verdana" w:cs="Times New Roman"/>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a definire l'organizzazione dei servizi, i livelli qualitativi delle prestazioni, nonché i criteri per l'erogazione dell'assistenza economica integrativa di competenza dei comuni;</w:t>
      </w:r>
      <w:r w:rsidRPr="00DE336C">
        <w:rPr>
          <w:rFonts w:ascii="Verdana" w:eastAsia="Times New Roman" w:hAnsi="Verdana" w:cs="Times New Roman"/>
          <w:color w:val="1D1D1D"/>
          <w:sz w:val="19"/>
          <w:szCs w:val="19"/>
          <w:lang w:eastAsia="it-IT"/>
        </w:rPr>
        <w:br/>
        <w:t xml:space="preserve">b) a definire, mediante gli accordi di programma di cui all'articolo 27 della </w:t>
      </w:r>
      <w:hyperlink r:id="rId67" w:anchor="a27" w:history="1">
        <w:r w:rsidRPr="00DE336C">
          <w:rPr>
            <w:rFonts w:ascii="Verdana" w:eastAsia="Times New Roman" w:hAnsi="Verdana" w:cs="Times New Roman"/>
            <w:color w:val="761633"/>
            <w:sz w:val="19"/>
            <w:szCs w:val="19"/>
            <w:u w:val="single"/>
            <w:lang w:eastAsia="it-IT"/>
          </w:rPr>
          <w:t>legge 8 giugno 1990, n. 142</w:t>
        </w:r>
      </w:hyperlink>
      <w:r w:rsidRPr="00DE336C">
        <w:rPr>
          <w:rFonts w:ascii="Verdana" w:eastAsia="Times New Roman" w:hAnsi="Verdana" w:cs="Times New Roman"/>
          <w:color w:val="1D1D1D"/>
          <w:sz w:val="19"/>
          <w:szCs w:val="19"/>
          <w:lang w:eastAsia="it-IT"/>
        </w:rPr>
        <w:t>, le modalità di coordinamento e di integrazione dei servizi e delle prestazioni individuali di cui alla presente legge con gli altri servizi sociali, sanitari, educativi, anche d'intesa con gli organi periferici dell'Amministrazione della pubblica istruzione e con le strutture prescolastiche o scolastiche e di formazione professionale, anche per la messa a disposizione di attrezzature, operatori o specialisti necessari all'attività di prevenzione, diagnosi e riabilitazione eventualmente svolta al loro interno;</w:t>
      </w:r>
      <w:r w:rsidRPr="00DE336C">
        <w:rPr>
          <w:rFonts w:ascii="Verdana" w:eastAsia="Times New Roman" w:hAnsi="Verdana" w:cs="Times New Roman"/>
          <w:color w:val="1D1D1D"/>
          <w:sz w:val="19"/>
          <w:szCs w:val="19"/>
          <w:lang w:eastAsia="it-IT"/>
        </w:rPr>
        <w:br/>
        <w:t>c) a definire, in collaborazione con le università e gli istituti di ricerca, i programmi e le modalità organizzative delle iniziative di riqualificazione ed aggiornamento del personale impiegato nelle attività di cui alla presente legge;</w:t>
      </w:r>
      <w:r w:rsidRPr="00DE336C">
        <w:rPr>
          <w:rFonts w:ascii="Verdana" w:eastAsia="Times New Roman" w:hAnsi="Verdana" w:cs="Times New Roman"/>
          <w:color w:val="1D1D1D"/>
          <w:sz w:val="19"/>
          <w:szCs w:val="19"/>
          <w:lang w:eastAsia="it-IT"/>
        </w:rPr>
        <w:br/>
        <w:t>d) a promuovere, tramite le convenzioni con gli enti di cui all'articolo 38, le attività di ricerca e di sperimentazione di nuove tecnologie di apprendimento e di riabilitazione, nonché la produzione di sussidi didattici e tecnici;</w:t>
      </w:r>
      <w:r w:rsidRPr="00DE336C">
        <w:rPr>
          <w:rFonts w:ascii="Verdana" w:eastAsia="Times New Roman" w:hAnsi="Verdana" w:cs="Times New Roman"/>
          <w:color w:val="1D1D1D"/>
          <w:sz w:val="19"/>
          <w:szCs w:val="19"/>
          <w:lang w:eastAsia="it-IT"/>
        </w:rPr>
        <w:br/>
        <w:t>e) a definire le modalità di intervento nel campo delle attività assistenziali e quelle di accesso ai servizi;</w:t>
      </w:r>
      <w:r w:rsidRPr="00DE336C">
        <w:rPr>
          <w:rFonts w:ascii="Verdana" w:eastAsia="Times New Roman" w:hAnsi="Verdana" w:cs="Times New Roman"/>
          <w:color w:val="1D1D1D"/>
          <w:sz w:val="19"/>
          <w:szCs w:val="19"/>
          <w:lang w:eastAsia="it-IT"/>
        </w:rPr>
        <w:br/>
        <w:t>f) a disciplinare le modalità del controllo periodico degli interventi di inserimento ed integrazione sociale di cui all'articolo 5, per verificarne la rispondenza all'effettiva situazione di bisogno;</w:t>
      </w:r>
      <w:r w:rsidRPr="00DE336C">
        <w:rPr>
          <w:rFonts w:ascii="Verdana" w:eastAsia="Times New Roman" w:hAnsi="Verdana" w:cs="Times New Roman"/>
          <w:color w:val="1D1D1D"/>
          <w:sz w:val="19"/>
          <w:szCs w:val="19"/>
          <w:lang w:eastAsia="it-IT"/>
        </w:rPr>
        <w:br/>
        <w:t>g) a disciplinare con legge, entro sei mesi dalla data di entrata in vigore della presente legge, i criteri relativi all'istituzione e al funzionamento dei servizi di aiuto personale;</w:t>
      </w:r>
      <w:r w:rsidRPr="00DE336C">
        <w:rPr>
          <w:rFonts w:ascii="Verdana" w:eastAsia="Times New Roman" w:hAnsi="Verdana" w:cs="Times New Roman"/>
          <w:color w:val="1D1D1D"/>
          <w:sz w:val="19"/>
          <w:szCs w:val="19"/>
          <w:lang w:eastAsia="it-IT"/>
        </w:rPr>
        <w:br/>
        <w:t>h) ad effettuare controlli periodici sulle aziende beneficiarie degli incentivi e dei contributi di cui all'articolo 18, comma 6, per garantire la loro effettiva finalizzazione all'integrazione lavorativa delle persone handicappate;</w:t>
      </w:r>
      <w:r w:rsidRPr="00DE336C">
        <w:rPr>
          <w:rFonts w:ascii="Verdana" w:eastAsia="Times New Roman" w:hAnsi="Verdana" w:cs="Times New Roman"/>
          <w:color w:val="1D1D1D"/>
          <w:sz w:val="19"/>
          <w:szCs w:val="19"/>
          <w:lang w:eastAsia="it-IT"/>
        </w:rPr>
        <w:br/>
      </w:r>
      <w:r w:rsidRPr="00DE336C">
        <w:rPr>
          <w:rFonts w:ascii="Verdana" w:eastAsia="Times New Roman" w:hAnsi="Verdana" w:cs="Times New Roman"/>
          <w:color w:val="1D1D1D"/>
          <w:sz w:val="19"/>
          <w:szCs w:val="19"/>
          <w:lang w:eastAsia="it-IT"/>
        </w:rPr>
        <w:lastRenderedPageBreak/>
        <w:t>i) a promuovere programmi di formazione di personale volontario da realizzarsi da parte delle organizzazioni di volontariato;</w:t>
      </w:r>
      <w:r w:rsidRPr="00DE336C">
        <w:rPr>
          <w:rFonts w:ascii="Verdana" w:eastAsia="Times New Roman" w:hAnsi="Verdana" w:cs="Times New Roman"/>
          <w:color w:val="1D1D1D"/>
          <w:sz w:val="19"/>
          <w:szCs w:val="19"/>
          <w:lang w:eastAsia="it-IT"/>
        </w:rPr>
        <w:br/>
        <w:t>l) ad elaborare un consuntivo annuale analitico delle spese e dei contributi per assistenza erogati sul territorio anche da enti pubblici e enti o associazioni privati, i quali trasmettono alle regioni i rispettivi bilanci, secondo modalità fissate dalle regioni medesime;</w:t>
      </w:r>
      <w:r w:rsidRPr="00DE336C">
        <w:rPr>
          <w:rFonts w:ascii="Verdana" w:eastAsia="Times New Roman" w:hAnsi="Verdana" w:cs="Times New Roman"/>
          <w:color w:val="1D1D1D"/>
          <w:sz w:val="19"/>
          <w:szCs w:val="19"/>
          <w:lang w:eastAsia="it-IT"/>
        </w:rPr>
        <w:br/>
        <w:t xml:space="preserve">l-bis) a programmare interventi di sostegno alla persona e familiare come prestazioni integrative degli interventi realizzati dagli enti locali a favore delle persone con handicap di particolare gravità, di cui all'articolo 3, comma 3, mediante forme di assistenza domiciliare e di aiuto personale, anche della durata di 24 ore, provvedendo alla realizzazione dei servizi di cui all'articolo 9, all’istituzione di servizi di accoglienza per periodi brevi e di emergenza, tenuto conto di quanto disposto dagli articoli 8, comma 1, lettera i), e 10, comma 1, e al rimborso parziale delle spese documentate di assistenza nell'ambito di programmi previamente concordati; </w:t>
      </w:r>
      <w:r w:rsidRPr="00DE336C">
        <w:rPr>
          <w:rFonts w:ascii="Verdana" w:eastAsia="Times New Roman" w:hAnsi="Verdana" w:cs="Times New Roman"/>
          <w:i/>
          <w:iCs/>
          <w:color w:val="1D1D1D"/>
          <w:sz w:val="19"/>
          <w:szCs w:val="19"/>
          <w:lang w:eastAsia="it-IT"/>
        </w:rPr>
        <w:t>(9)</w:t>
      </w:r>
      <w:r w:rsidRPr="00DE336C">
        <w:rPr>
          <w:rFonts w:ascii="Verdana" w:eastAsia="Times New Roman" w:hAnsi="Verdana" w:cs="Times New Roman"/>
          <w:i/>
          <w:iCs/>
          <w:color w:val="1D1D1D"/>
          <w:sz w:val="19"/>
          <w:szCs w:val="19"/>
          <w:lang w:eastAsia="it-IT"/>
        </w:rPr>
        <w:br/>
      </w:r>
      <w:proofErr w:type="spellStart"/>
      <w:r w:rsidRPr="00DE336C">
        <w:rPr>
          <w:rFonts w:ascii="Verdana" w:eastAsia="Times New Roman" w:hAnsi="Verdana" w:cs="Times New Roman"/>
          <w:color w:val="1D1D1D"/>
          <w:sz w:val="19"/>
          <w:szCs w:val="19"/>
          <w:lang w:eastAsia="it-IT"/>
        </w:rPr>
        <w:t>l-ter</w:t>
      </w:r>
      <w:proofErr w:type="spellEnd"/>
      <w:r w:rsidRPr="00DE336C">
        <w:rPr>
          <w:rFonts w:ascii="Verdana" w:eastAsia="Times New Roman" w:hAnsi="Verdana" w:cs="Times New Roman"/>
          <w:color w:val="1D1D1D"/>
          <w:sz w:val="19"/>
          <w:szCs w:val="19"/>
          <w:lang w:eastAsia="it-IT"/>
        </w:rPr>
        <w:t xml:space="preserve">) a disciplinare, allo scopo di garantire il diritto ad una vita indipendente alle persone con disabilità permanente e grave limitazione dell'autonomia personale nello svolgimento di una o più funzioni essenziali della vita, non superabili mediante ausili tecnici, le modalità di realizzazione di programmi di aiuto alla persona, gestiti in forma indiretta, anche mediante piani personalizzati per i soggetti che ne facciano richiesta, con verifica delle prestazioni erogate e della loro efficacia. </w:t>
      </w:r>
      <w:r w:rsidRPr="00DE336C">
        <w:rPr>
          <w:rFonts w:ascii="Verdana" w:eastAsia="Times New Roman" w:hAnsi="Verdana" w:cs="Times New Roman"/>
          <w:i/>
          <w:iCs/>
          <w:color w:val="1D1D1D"/>
          <w:sz w:val="19"/>
          <w:szCs w:val="19"/>
          <w:lang w:eastAsia="it-IT"/>
        </w:rPr>
        <w:t>(9)</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(8) - comma così modificato dal primo articolo della </w:t>
      </w:r>
      <w:hyperlink r:id="rId68" w:history="1">
        <w:r w:rsidRPr="00DE336C">
          <w:rPr>
            <w:rFonts w:ascii="Verdana" w:eastAsia="Times New Roman" w:hAnsi="Verdana" w:cs="Times New Roman"/>
            <w:i/>
            <w:iCs/>
            <w:color w:val="761633"/>
            <w:sz w:val="19"/>
            <w:szCs w:val="19"/>
            <w:u w:val="single"/>
            <w:lang w:eastAsia="it-IT"/>
          </w:rPr>
          <w:t>Legge 21 maggio 1998, n. 162</w:t>
        </w:r>
      </w:hyperlink>
      <w:r w:rsidRPr="00DE336C">
        <w:rPr>
          <w:rFonts w:ascii="Verdana" w:eastAsia="Times New Roman" w:hAnsi="Verdana" w:cs="Times New Roman"/>
          <w:i/>
          <w:iCs/>
          <w:color w:val="1D1D1D"/>
          <w:sz w:val="19"/>
          <w:szCs w:val="19"/>
          <w:lang w:eastAsia="it-IT"/>
        </w:rPr>
        <w:t>.</w:t>
      </w:r>
      <w:r w:rsidRPr="00DE336C">
        <w:rPr>
          <w:rFonts w:ascii="Verdana" w:eastAsia="Times New Roman" w:hAnsi="Verdana" w:cs="Times New Roman"/>
          <w:i/>
          <w:iCs/>
          <w:color w:val="1D1D1D"/>
          <w:sz w:val="19"/>
          <w:szCs w:val="19"/>
          <w:lang w:eastAsia="it-IT"/>
        </w:rPr>
        <w:br/>
        <w:t xml:space="preserve">(9) - lettera aggiunta dal primo articolo della </w:t>
      </w:r>
      <w:hyperlink r:id="rId69" w:anchor="a1" w:history="1">
        <w:r w:rsidRPr="00DE336C">
          <w:rPr>
            <w:rFonts w:ascii="Verdana" w:eastAsia="Times New Roman" w:hAnsi="Verdana" w:cs="Times New Roman"/>
            <w:i/>
            <w:iCs/>
            <w:color w:val="761633"/>
            <w:sz w:val="19"/>
            <w:szCs w:val="19"/>
            <w:u w:val="single"/>
            <w:lang w:eastAsia="it-IT"/>
          </w:rPr>
          <w:t>Legge 21 maggio 1998, n. 162</w:t>
        </w:r>
      </w:hyperlink>
      <w:r w:rsidRPr="00DE336C">
        <w:rPr>
          <w:rFonts w:ascii="Verdana" w:eastAsia="Times New Roman" w:hAnsi="Verdana" w:cs="Times New Roman"/>
          <w:i/>
          <w:iCs/>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39" w:name="a40"/>
      <w:bookmarkEnd w:id="39"/>
      <w:r w:rsidRPr="00DE336C">
        <w:rPr>
          <w:rFonts w:ascii="Verdana" w:eastAsia="Times New Roman" w:hAnsi="Verdana" w:cs="Times New Roman"/>
          <w:b/>
          <w:bCs/>
          <w:color w:val="1D1D1D"/>
          <w:sz w:val="19"/>
          <w:szCs w:val="19"/>
          <w:lang w:eastAsia="it-IT"/>
        </w:rPr>
        <w:t>40. Compiti dei comuni.</w:t>
      </w:r>
      <w:r w:rsidRPr="00DE336C">
        <w:rPr>
          <w:rFonts w:ascii="Verdana" w:eastAsia="Times New Roman" w:hAnsi="Verdana" w:cs="Times New Roman"/>
          <w:color w:val="1D1D1D"/>
          <w:sz w:val="19"/>
          <w:szCs w:val="19"/>
          <w:lang w:eastAsia="it-IT"/>
        </w:rPr>
        <w:t xml:space="preserve"> - 1. I comuni, anche consorziati tra loro, le loro unioni, le comunità montane e le unità sanitarie locali qualora le leggi regionali attribuiscano loro la competenza, attuano gli interventi sociali e sanitari previsti dalla presente legge nel quadro della normativa regionale, mediante gli accordi di programma di cui all'articolo 27 della legge 8 giugno 1990, n. 142, dando priorità agli interventi di riqualificazione, di riordinamento e di potenziamento dei servizi esistenti.</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Gli statuti comunali di cui all'articolo 4 della citata legge n. 142 del 1990 disciplinano le modalità del coordinamento degli interventi di cui al comma 1 con i servizi sociali, sanitari, educativi e di tempo libero operanti nell'ambito territoriale e l'organizzazione di un servizio di segreteria per i rapporti con gli utenti, da realizzarsi anche nelle forme del decentramento previste dallo statuto stesso.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0" w:name="a41"/>
      <w:bookmarkEnd w:id="40"/>
      <w:r w:rsidRPr="00DE336C">
        <w:rPr>
          <w:rFonts w:ascii="Verdana" w:eastAsia="Times New Roman" w:hAnsi="Verdana" w:cs="Times New Roman"/>
          <w:b/>
          <w:bCs/>
          <w:color w:val="1D1D1D"/>
          <w:sz w:val="19"/>
          <w:szCs w:val="19"/>
          <w:lang w:eastAsia="it-IT"/>
        </w:rPr>
        <w:t>41. Competenze del Ministro per gli affari sociali e costituzione del Comitato nazionale per le politiche dell'handicap.</w:t>
      </w:r>
      <w:r w:rsidRPr="00DE336C">
        <w:rPr>
          <w:rFonts w:ascii="Verdana" w:eastAsia="Times New Roman" w:hAnsi="Verdana" w:cs="Times New Roman"/>
          <w:color w:val="1D1D1D"/>
          <w:sz w:val="19"/>
          <w:szCs w:val="19"/>
          <w:lang w:eastAsia="it-IT"/>
        </w:rPr>
        <w:t xml:space="preserve"> - 1. Il Ministro per gli affari sociali coordina l'attività delle Amministrazioni dello Stato competenti a realizzare gli obiettivi della presente legge ed ha compiti di promozione di politiche di sostegno per le persone handicappate e di verifica dell'attuazione della legislazione vigente in materia.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2. I disegni di legge del Governo contenenti disposizioni concernenti la condizione delle persone handicappate sono presentati previo concerto con il Ministro per gli affari sociali. Il concerto con il Ministro per gli affari sociali è obbligatorio per i regolamenti e per gli atti di carattere generale adottati in materia.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3. Per favorire l'assolvimento dei compiti di cui al comma 1, è istituito presso la Presidenza del Consiglio dei ministri il Comitato nazionale per le politiche dell'handicap.</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Il Comitato è composto dal Ministro per gli affari sociali, che lo presiede, dai Ministri dell'interno, del tesoro, della pubblica istruzione, della sanità, del lavoro e della previdenza sociale, nonché dai Ministri per le riforme istituzionali e gli affari regionali e per il coordinamento delle politiche comunitarie. Alle riunioni del Comitato possono essere chiamati a partecipare altri Ministri in relazione agli argomenti da trattare.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Il Comitato è convocato almeno tre volte l'anno, di cui una prima della presentazione al Consiglio dei ministri del disegno di legge finanziaria.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Il Comitato si avvale di: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a) tre assessori scelti tra gli assessori regionali e delle province autonome di Trento e di Bolzano designati dalla Conferenza dei presidenti delle regioni e delle province autonome ai sensi dell'articolo 4 del decreto legislativo 16 dicembre 1989, n. 418; </w:t>
      </w:r>
      <w:r w:rsidRPr="00DE336C">
        <w:rPr>
          <w:rFonts w:ascii="Verdana" w:eastAsia="Times New Roman" w:hAnsi="Verdana" w:cs="Times New Roman"/>
          <w:i/>
          <w:iCs/>
          <w:color w:val="1D1D1D"/>
          <w:sz w:val="19"/>
          <w:szCs w:val="19"/>
          <w:lang w:eastAsia="it-IT"/>
        </w:rPr>
        <w:t>(10)</w:t>
      </w:r>
      <w:r w:rsidRPr="00DE336C">
        <w:rPr>
          <w:rFonts w:ascii="Verdana" w:eastAsia="Times New Roman" w:hAnsi="Verdana" w:cs="Times New Roman"/>
          <w:color w:val="1D1D1D"/>
          <w:sz w:val="19"/>
          <w:szCs w:val="19"/>
          <w:lang w:eastAsia="it-IT"/>
        </w:rPr>
        <w:br/>
        <w:t>b) tre rappresentanti degli enti locali designati dall'Associazione nazionale dei comuni italiani (ANCI) e un rappresentante degli enti locali designato dalla Lega delle autonomie locali;</w:t>
      </w:r>
      <w:r w:rsidRPr="00DE336C">
        <w:rPr>
          <w:rFonts w:ascii="Verdana" w:eastAsia="Times New Roman" w:hAnsi="Verdana" w:cs="Times New Roman"/>
          <w:color w:val="1D1D1D"/>
          <w:sz w:val="19"/>
          <w:szCs w:val="19"/>
          <w:lang w:eastAsia="it-IT"/>
        </w:rPr>
        <w:br/>
        <w:t>c) cinque esperti scelti fra i membri degli enti e delle associazioni in possesso dei requisiti di cui agli articoli 1 e 2 della legge 19 novembre 1987, n. 476, che svolgano attività di promozione e tutela delle persone handicappate e delle loro famiglie;</w:t>
      </w:r>
      <w:r w:rsidRPr="00DE336C">
        <w:rPr>
          <w:rFonts w:ascii="Verdana" w:eastAsia="Times New Roman" w:hAnsi="Verdana" w:cs="Times New Roman"/>
          <w:color w:val="1D1D1D"/>
          <w:sz w:val="19"/>
          <w:szCs w:val="19"/>
          <w:lang w:eastAsia="it-IT"/>
        </w:rPr>
        <w:br/>
        <w:t>d) tre rappresentanti delle organizzazioni sindacali maggiormente rappresentative.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7. Il Comitato si avvale dei sistemi informativi delle Amministrazioni in esso rappresentate.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8. Il Ministro per gli affari sociali, entro il 15 aprile di ogni anno, presenta una relazione al Parlamento sui dati relativi allo stato di attuazione delle politiche per l'handicap in Italia, nonché sugli indirizzi che saranno seguiti. A tal fine le Amministrazioni dello Stato, anche ad ordinamento autonomo, le regioni e le province autonome di Trento e di Bolzano e gli enti locali trasmettono, entro il 28 febbraio di ciascun anno, alla Presidenza del Consiglio dei ministri tutti i dati relativi agli interventi di loro competenza disciplinati dalla presente legge. Nel primo anno di applicazione della presente legge la relazione è presentata entro il 30 ottobre.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9. Il Comitato, nell'esercizio delle sue funzioni, è coadiuvato da una commissione permanente composta da un rappresentante per ciascuno dei Ministeri dell'interno, delle finanze, del tesoro, della pubblica istruzione, della sanità, del lavoro e della previdenza sociale, dell'università e della ricerca scientifica e tecnologica, nonché da tre rappresentanti della Presidenza del Consiglio dei </w:t>
      </w:r>
      <w:r w:rsidRPr="00DE336C">
        <w:rPr>
          <w:rFonts w:ascii="Verdana" w:eastAsia="Times New Roman" w:hAnsi="Verdana" w:cs="Times New Roman"/>
          <w:color w:val="1D1D1D"/>
          <w:sz w:val="19"/>
          <w:szCs w:val="19"/>
          <w:lang w:eastAsia="it-IT"/>
        </w:rPr>
        <w:lastRenderedPageBreak/>
        <w:t>ministri di cui uno del Dipartimento per gli affari sociali, uno del Dipartimento per gli affari regionali, uno del Dipartimento per la funzione pubblica. La commissione è presieduta dal responsabile dell'Ufficio per le problematiche della famiglia, della terza età, dei disabili e degli emarginati, del Dipartimento per gli affari sociali.</w:t>
      </w:r>
    </w:p>
    <w:p w:rsidR="00DE336C" w:rsidRPr="00DE336C" w:rsidRDefault="00DE336C" w:rsidP="00DE336C">
      <w:pPr>
        <w:spacing w:before="96" w:after="240"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(10) La Corte costituzionale, con sentenza 21-29 ottobre 1992, n. 406 (G.U. 4 novembre 1992, n. 46 - Serie speciale), ha dichiarato l'illegittimità costituzionale dell'art. 41, sesto comma, nella parte in cui, con riguardo alla lettera a), prevede che il Comitato "si avvale di", anziché "è composto da".</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1" w:name="a41bis"/>
      <w:bookmarkEnd w:id="41"/>
      <w:r w:rsidRPr="00DE336C">
        <w:rPr>
          <w:rFonts w:ascii="Verdana" w:eastAsia="Times New Roman" w:hAnsi="Verdana" w:cs="Times New Roman"/>
          <w:b/>
          <w:bCs/>
          <w:color w:val="1D1D1D"/>
          <w:sz w:val="19"/>
          <w:szCs w:val="19"/>
          <w:lang w:eastAsia="it-IT"/>
        </w:rPr>
        <w:t>Art. 41-bis. Conferenza nazionale sulle politiche dell'handicap.</w:t>
      </w:r>
      <w:r w:rsidRPr="00DE336C">
        <w:rPr>
          <w:rFonts w:ascii="Verdana" w:eastAsia="Times New Roman" w:hAnsi="Verdana" w:cs="Times New Roman"/>
          <w:color w:val="1D1D1D"/>
          <w:sz w:val="19"/>
          <w:szCs w:val="19"/>
          <w:lang w:eastAsia="it-IT"/>
        </w:rPr>
        <w:t xml:space="preserve"> - I. Il Ministro per la solidarietà sociale, sentita la Conferenza unificata di cui all'articolo 8 dei decreto legislativo 28 agosto 1997, n. 281, promuove indagini statistiche e conoscitive sull'handicap e convoca ogni tre anni una conferenza nazionale sulle politiche dell'handicap alla quale invita soggetti pubblici, privati e dei privato sociale che esplicano la loro attività nel campo dell'assistenza e della integrazione sociale delle persone handicappate. Le conclusioni di tale conferenza sono trasmesse al Parlamento anche al fine di individuare eventuali correzioni alla legislazione vigente. </w:t>
      </w:r>
      <w:r w:rsidRPr="00DE336C">
        <w:rPr>
          <w:rFonts w:ascii="Verdana" w:eastAsia="Times New Roman" w:hAnsi="Verdana" w:cs="Times New Roman"/>
          <w:i/>
          <w:iCs/>
          <w:color w:val="1D1D1D"/>
          <w:sz w:val="19"/>
          <w:szCs w:val="19"/>
          <w:lang w:eastAsia="it-IT"/>
        </w:rPr>
        <w:t>(11)</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(11) articolo aggiunto dal primo articolo della </w:t>
      </w:r>
      <w:hyperlink r:id="rId70" w:anchor="a1" w:history="1">
        <w:r w:rsidRPr="00DE336C">
          <w:rPr>
            <w:rFonts w:ascii="Verdana" w:eastAsia="Times New Roman" w:hAnsi="Verdana" w:cs="Times New Roman"/>
            <w:i/>
            <w:iCs/>
            <w:color w:val="761633"/>
            <w:sz w:val="19"/>
            <w:szCs w:val="19"/>
            <w:u w:val="single"/>
            <w:lang w:eastAsia="it-IT"/>
          </w:rPr>
          <w:t>Legge 21 maggio 1998, n. 162</w:t>
        </w:r>
      </w:hyperlink>
      <w:r w:rsidRPr="00DE336C">
        <w:rPr>
          <w:rFonts w:ascii="Verdana" w:eastAsia="Times New Roman" w:hAnsi="Verdana" w:cs="Times New Roman"/>
          <w:i/>
          <w:iCs/>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2" w:name="a41ter"/>
      <w:bookmarkEnd w:id="42"/>
      <w:r w:rsidRPr="00DE336C">
        <w:rPr>
          <w:rFonts w:ascii="Verdana" w:eastAsia="Times New Roman" w:hAnsi="Verdana" w:cs="Times New Roman"/>
          <w:b/>
          <w:bCs/>
          <w:color w:val="1D1D1D"/>
          <w:sz w:val="19"/>
          <w:szCs w:val="19"/>
          <w:lang w:eastAsia="it-IT"/>
        </w:rPr>
        <w:t>Art. 41-ter. Progetti sperimentali.</w:t>
      </w:r>
      <w:r w:rsidRPr="00DE336C">
        <w:rPr>
          <w:rFonts w:ascii="Verdana" w:eastAsia="Times New Roman" w:hAnsi="Verdana" w:cs="Times New Roman"/>
          <w:color w:val="1D1D1D"/>
          <w:sz w:val="19"/>
          <w:szCs w:val="19"/>
          <w:lang w:eastAsia="it-IT"/>
        </w:rPr>
        <w:t xml:space="preserve"> - 1. Il Ministro per la solidarietà sociale promuove e coordina progetti sperimentali aventi per oggetto gli interventi previsti dagli articoli 10, 23, 25 e 26 della presente legge.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2. Il Ministro per la solidarietà sociale, con proprio decreto, d'intesa con la Conferenza unificata di cui all'articolo 8 dei decreto legislativo 28 agosto 1997, n. 281, definisce i criteri e le modalità per la presentazione e la valutazione dei progetti sperimentali di cui al comma 1 nonché i criteri per la ripartizione dei fondi stanziati per il finanziamento dei progetti di cui al presente articolo. </w:t>
      </w:r>
      <w:r w:rsidRPr="00DE336C">
        <w:rPr>
          <w:rFonts w:ascii="Verdana" w:eastAsia="Times New Roman" w:hAnsi="Verdana" w:cs="Times New Roman"/>
          <w:i/>
          <w:iCs/>
          <w:color w:val="1D1D1D"/>
          <w:sz w:val="19"/>
          <w:szCs w:val="19"/>
          <w:lang w:eastAsia="it-IT"/>
        </w:rPr>
        <w:t>(12)</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i/>
          <w:iCs/>
          <w:color w:val="1D1D1D"/>
          <w:sz w:val="19"/>
          <w:szCs w:val="19"/>
          <w:lang w:eastAsia="it-IT"/>
        </w:rPr>
        <w:t xml:space="preserve">(12) articolo aggiunto dal primo articolo della </w:t>
      </w:r>
      <w:hyperlink r:id="rId71" w:anchor="a1" w:history="1">
        <w:r w:rsidRPr="00DE336C">
          <w:rPr>
            <w:rFonts w:ascii="Verdana" w:eastAsia="Times New Roman" w:hAnsi="Verdana" w:cs="Times New Roman"/>
            <w:i/>
            <w:iCs/>
            <w:color w:val="761633"/>
            <w:sz w:val="19"/>
            <w:szCs w:val="19"/>
            <w:u w:val="single"/>
            <w:lang w:eastAsia="it-IT"/>
          </w:rPr>
          <w:t>Legge 21 maggio 1998, n. 162</w:t>
        </w:r>
      </w:hyperlink>
      <w:r w:rsidRPr="00DE336C">
        <w:rPr>
          <w:rFonts w:ascii="Verdana" w:eastAsia="Times New Roman" w:hAnsi="Verdana" w:cs="Times New Roman"/>
          <w:i/>
          <w:iCs/>
          <w:color w:val="1D1D1D"/>
          <w:sz w:val="19"/>
          <w:szCs w:val="19"/>
          <w:lang w:eastAsia="it-IT"/>
        </w:rPr>
        <w:t>.</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3" w:name="a42"/>
      <w:bookmarkEnd w:id="43"/>
      <w:r w:rsidRPr="00DE336C">
        <w:rPr>
          <w:rFonts w:ascii="Verdana" w:eastAsia="Times New Roman" w:hAnsi="Verdana" w:cs="Times New Roman"/>
          <w:b/>
          <w:bCs/>
          <w:color w:val="1D1D1D"/>
          <w:sz w:val="19"/>
          <w:szCs w:val="19"/>
          <w:lang w:eastAsia="it-IT"/>
        </w:rPr>
        <w:t>42. Copertura finanziaria.</w:t>
      </w:r>
      <w:r w:rsidRPr="00DE336C">
        <w:rPr>
          <w:rFonts w:ascii="Verdana" w:eastAsia="Times New Roman" w:hAnsi="Verdana" w:cs="Times New Roman"/>
          <w:color w:val="1D1D1D"/>
          <w:sz w:val="19"/>
          <w:szCs w:val="19"/>
          <w:lang w:eastAsia="it-IT"/>
        </w:rPr>
        <w:t xml:space="preserve"> - 1. Presso la Presidenza del Consiglio dei ministri - Dipartimento per gli affari sociali, è istituito il Fondo per l'integrazione degli interventi regionali e delle province autonome in favore dei cittadini handicappati.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2. Il Ministro per gli affari sociali provvede, sentito il Comitato nazionale per le politiche dell'handicap di cui all'articolo 41, alla ripartizione annuale del Fondo tra le regioni e le province autonome di Trento e di Bolzano, in proporzione al numero degli abitanti.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 xml:space="preserve">3. A partire dal terzo anno di applicazione della presente legge, il criterio della proporzionalità di cui al comma 2 può essere integrato da altri criteri, approvati dal Comitato di cui all'articolo 41, sentita </w:t>
      </w:r>
      <w:r w:rsidRPr="00DE336C">
        <w:rPr>
          <w:rFonts w:ascii="Verdana" w:eastAsia="Times New Roman" w:hAnsi="Verdana" w:cs="Times New Roman"/>
          <w:color w:val="1D1D1D"/>
          <w:sz w:val="19"/>
          <w:szCs w:val="19"/>
          <w:lang w:eastAsia="it-IT"/>
        </w:rPr>
        <w:lastRenderedPageBreak/>
        <w:t>la Conferenza permanente per i rapporti tra lo Stato, le regioni e le province autonome di Trento e di Bolzano di cui all'articolo 12 della legge 23 agosto 1988, n. 400, con riferimento a situazioni di particolare concentrazione di persone handicappate e di servizi di alta specializzazione, nonché a situazioni di grave arretratezza di alcune aree.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4. Le regioni e le province autonome di Trento e di Bolzano provvedono a ripartire i fondi di loro spettanza tra gli enti competenti a realizzare i servizi, dando priorità agli interventi in favore delle persone handicappate in situazione di gravità e agli interventi per la prevenzione.</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5. Per le finalità previste dalla presente legge non possono essere incrementate le dotazioni organiche del personale della scuola di ogni ordine e grado oltre i limiti consentiti dalle disponibilità finanziarie all'uopo preordinate dal comma 6, lettera h).</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6. E' autorizzata la spesa di lire 120 miliardi per l'anno 1992 e di lire 150 miliardi a decorrere dal 1993, da ripartire, per ciascun anno, secondo le seguenti finalità:</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a) lire 2 miliardi e 300 milioni per l'integrazione delle commissioni di cui all'articolo 4;</w:t>
      </w:r>
      <w:r w:rsidRPr="00DE336C">
        <w:rPr>
          <w:rFonts w:ascii="Verdana" w:eastAsia="Times New Roman" w:hAnsi="Verdana" w:cs="Times New Roman"/>
          <w:color w:val="1D1D1D"/>
          <w:sz w:val="19"/>
          <w:szCs w:val="19"/>
          <w:lang w:eastAsia="it-IT"/>
        </w:rPr>
        <w:br/>
        <w:t>b) lire 1 miliardo per il finanziamento del soggiorno all'estero per cure nei casi previsti dall'articolo 11;</w:t>
      </w:r>
      <w:r w:rsidRPr="00DE336C">
        <w:rPr>
          <w:rFonts w:ascii="Verdana" w:eastAsia="Times New Roman" w:hAnsi="Verdana" w:cs="Times New Roman"/>
          <w:color w:val="1D1D1D"/>
          <w:sz w:val="19"/>
          <w:szCs w:val="19"/>
          <w:lang w:eastAsia="it-IT"/>
        </w:rPr>
        <w:br/>
        <w:t>c) lire 4 miliardi per il potenziamento dei servizi di istruzione dei minori ricoverati di cui all'articolo 12;</w:t>
      </w:r>
      <w:r w:rsidRPr="00DE336C">
        <w:rPr>
          <w:rFonts w:ascii="Verdana" w:eastAsia="Times New Roman" w:hAnsi="Verdana" w:cs="Times New Roman"/>
          <w:color w:val="1D1D1D"/>
          <w:sz w:val="19"/>
          <w:szCs w:val="19"/>
          <w:lang w:eastAsia="it-IT"/>
        </w:rPr>
        <w:br/>
        <w:t>d) lire 8 miliardi per le attrezzature per le scuole di cui all'articolo 13, comma 1, lettera b);</w:t>
      </w:r>
      <w:r w:rsidRPr="00DE336C">
        <w:rPr>
          <w:rFonts w:ascii="Verdana" w:eastAsia="Times New Roman" w:hAnsi="Verdana" w:cs="Times New Roman"/>
          <w:color w:val="1D1D1D"/>
          <w:sz w:val="19"/>
          <w:szCs w:val="19"/>
          <w:lang w:eastAsia="it-IT"/>
        </w:rPr>
        <w:br/>
        <w:t>e) lire 2 miliardi per le attrezzature per le università di cui all'articolo 13, comma 1, lettera b);</w:t>
      </w:r>
      <w:r w:rsidRPr="00DE336C">
        <w:rPr>
          <w:rFonts w:ascii="Verdana" w:eastAsia="Times New Roman" w:hAnsi="Verdana" w:cs="Times New Roman"/>
          <w:color w:val="1D1D1D"/>
          <w:sz w:val="19"/>
          <w:szCs w:val="19"/>
          <w:lang w:eastAsia="it-IT"/>
        </w:rPr>
        <w:br/>
        <w:t>f) lire 1 miliardo e 600 milioni per l'attribuzione di incarichi a interpreti per studenti non udenti nelle università di cui all'articolo 13, comma 1, lettera d);</w:t>
      </w:r>
      <w:r w:rsidRPr="00DE336C">
        <w:rPr>
          <w:rFonts w:ascii="Verdana" w:eastAsia="Times New Roman" w:hAnsi="Verdana" w:cs="Times New Roman"/>
          <w:color w:val="1D1D1D"/>
          <w:sz w:val="19"/>
          <w:szCs w:val="19"/>
          <w:lang w:eastAsia="it-IT"/>
        </w:rPr>
        <w:br/>
        <w:t>g) lire 4 miliardi per l'avvio della sperimentazione di cui all'articolo 13, comma 1, lettera e);</w:t>
      </w:r>
      <w:r w:rsidRPr="00DE336C">
        <w:rPr>
          <w:rFonts w:ascii="Verdana" w:eastAsia="Times New Roman" w:hAnsi="Verdana" w:cs="Times New Roman"/>
          <w:color w:val="1D1D1D"/>
          <w:sz w:val="19"/>
          <w:szCs w:val="19"/>
          <w:lang w:eastAsia="it-IT"/>
        </w:rPr>
        <w:br/>
        <w:t>h) lire 19 miliardi per l'anno 1992 e lire 38 miliardi per l'anno 1993 per l'assunzione di personale docente di sostegno nelle scuole secondarie di secondo grado prevista dall'articolo 13, comma 4;</w:t>
      </w:r>
      <w:r w:rsidRPr="00DE336C">
        <w:rPr>
          <w:rFonts w:ascii="Verdana" w:eastAsia="Times New Roman" w:hAnsi="Verdana" w:cs="Times New Roman"/>
          <w:color w:val="1D1D1D"/>
          <w:sz w:val="19"/>
          <w:szCs w:val="19"/>
          <w:lang w:eastAsia="it-IT"/>
        </w:rPr>
        <w:br/>
        <w:t>i) lire 4 miliardi e 538 milioni per la formazione del personale docente prevista dall'articolo 14;</w:t>
      </w:r>
      <w:r w:rsidRPr="00DE336C">
        <w:rPr>
          <w:rFonts w:ascii="Verdana" w:eastAsia="Times New Roman" w:hAnsi="Verdana" w:cs="Times New Roman"/>
          <w:color w:val="1D1D1D"/>
          <w:sz w:val="19"/>
          <w:szCs w:val="19"/>
          <w:lang w:eastAsia="it-IT"/>
        </w:rPr>
        <w:br/>
        <w:t>l) lire 2 miliardi per gli oneri di funzionamento dei gruppi di lavoro di cui all'articolo 15;</w:t>
      </w:r>
      <w:r w:rsidRPr="00DE336C">
        <w:rPr>
          <w:rFonts w:ascii="Verdana" w:eastAsia="Times New Roman" w:hAnsi="Verdana" w:cs="Times New Roman"/>
          <w:color w:val="1D1D1D"/>
          <w:sz w:val="19"/>
          <w:szCs w:val="19"/>
          <w:lang w:eastAsia="it-IT"/>
        </w:rPr>
        <w:br/>
        <w:t>m) lire 5 miliardi per i contributi ai progetti per l'accesso ai servizi radiotelevisivi e telefonici previsti all'articolo 25;</w:t>
      </w:r>
      <w:r w:rsidRPr="00DE336C">
        <w:rPr>
          <w:rFonts w:ascii="Verdana" w:eastAsia="Times New Roman" w:hAnsi="Verdana" w:cs="Times New Roman"/>
          <w:color w:val="1D1D1D"/>
          <w:sz w:val="19"/>
          <w:szCs w:val="19"/>
          <w:lang w:eastAsia="it-IT"/>
        </w:rPr>
        <w:br/>
        <w:t>n) lire 4 miliardi per un contributo del 20 per cento per la modifica degli strumenti di guida ai sensi dell'articolo 27, comma 1;</w:t>
      </w:r>
      <w:r w:rsidRPr="00DE336C">
        <w:rPr>
          <w:rFonts w:ascii="Verdana" w:eastAsia="Times New Roman" w:hAnsi="Verdana" w:cs="Times New Roman"/>
          <w:color w:val="1D1D1D"/>
          <w:sz w:val="19"/>
          <w:szCs w:val="19"/>
          <w:lang w:eastAsia="it-IT"/>
        </w:rPr>
        <w:br/>
        <w:t>o) lire 20 miliardi per ciascuno degli anni 1992 e 1993 per le agevolazioni per i genitori che lavorano, previste dall'articolo 33;</w:t>
      </w:r>
      <w:r w:rsidRPr="00DE336C">
        <w:rPr>
          <w:rFonts w:ascii="Verdana" w:eastAsia="Times New Roman" w:hAnsi="Verdana" w:cs="Times New Roman"/>
          <w:color w:val="1D1D1D"/>
          <w:sz w:val="19"/>
          <w:szCs w:val="19"/>
          <w:lang w:eastAsia="it-IT"/>
        </w:rPr>
        <w:br/>
        <w:t>p) lire 50 milioni per gli oneri di funzionamento del Comitato e della commissione di cui all'articolo 41;</w:t>
      </w:r>
      <w:r w:rsidRPr="00DE336C">
        <w:rPr>
          <w:rFonts w:ascii="Verdana" w:eastAsia="Times New Roman" w:hAnsi="Verdana" w:cs="Times New Roman"/>
          <w:color w:val="1D1D1D"/>
          <w:sz w:val="19"/>
          <w:szCs w:val="19"/>
          <w:lang w:eastAsia="it-IT"/>
        </w:rPr>
        <w:br/>
        <w:t>q) lire 42 miliardi e 512 milioni per l'anno 1992 e lire 53 miliardi e 512 milioni a partire dall'anno 1993 per il finanziamento del Fondo per l'integrazione degli interventi regionali e delle province autonome in favore dei cittadini handicappati di cui al comma 1 del presente articolo.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lastRenderedPageBreak/>
        <w:t xml:space="preserve">7. All'onere derivante dall'attuazione della presente legge, pari a lire 120 miliardi per l'anno 1992 e a lire 150 miliardi a decorrere dall'anno 1993, si provvede mediante corrispondente riduzione dello stanziamento iscritto, ai fini del bilancio triennale 1992-1994, al capitolo 6856 dello stato di </w:t>
      </w:r>
      <w:proofErr w:type="spellStart"/>
      <w:r w:rsidRPr="00DE336C">
        <w:rPr>
          <w:rFonts w:ascii="Verdana" w:eastAsia="Times New Roman" w:hAnsi="Verdana" w:cs="Times New Roman"/>
          <w:color w:val="1D1D1D"/>
          <w:sz w:val="19"/>
          <w:szCs w:val="19"/>
          <w:lang w:eastAsia="it-IT"/>
        </w:rPr>
        <w:t>previsionie</w:t>
      </w:r>
      <w:proofErr w:type="spellEnd"/>
      <w:r w:rsidRPr="00DE336C">
        <w:rPr>
          <w:rFonts w:ascii="Verdana" w:eastAsia="Times New Roman" w:hAnsi="Verdana" w:cs="Times New Roman"/>
          <w:color w:val="1D1D1D"/>
          <w:sz w:val="19"/>
          <w:szCs w:val="19"/>
          <w:lang w:eastAsia="it-IT"/>
        </w:rPr>
        <w:t xml:space="preserve"> del Ministero del tesoro per il 1992, all'uopo utilizzando l'accantonamento "Provvedimenti in favore di portatori di handicap".</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r w:rsidRPr="00DE336C">
        <w:rPr>
          <w:rFonts w:ascii="Verdana" w:eastAsia="Times New Roman" w:hAnsi="Verdana" w:cs="Times New Roman"/>
          <w:color w:val="1D1D1D"/>
          <w:sz w:val="19"/>
          <w:szCs w:val="19"/>
          <w:lang w:eastAsia="it-IT"/>
        </w:rPr>
        <w:t>8. Il Ministro del tesoro è autorizzato ad apportare, con propri decreti, le occorrenti variazioni di bilancio.</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4" w:name="a43"/>
      <w:bookmarkEnd w:id="44"/>
      <w:r w:rsidRPr="00DE336C">
        <w:rPr>
          <w:rFonts w:ascii="Verdana" w:eastAsia="Times New Roman" w:hAnsi="Verdana" w:cs="Times New Roman"/>
          <w:b/>
          <w:bCs/>
          <w:color w:val="1D1D1D"/>
          <w:sz w:val="19"/>
          <w:szCs w:val="19"/>
          <w:lang w:eastAsia="it-IT"/>
        </w:rPr>
        <w:t>43. Abrogazioni.</w:t>
      </w:r>
      <w:r w:rsidRPr="00DE336C">
        <w:rPr>
          <w:rFonts w:ascii="Verdana" w:eastAsia="Times New Roman" w:hAnsi="Verdana" w:cs="Times New Roman"/>
          <w:color w:val="1D1D1D"/>
          <w:sz w:val="19"/>
          <w:szCs w:val="19"/>
          <w:lang w:eastAsia="it-IT"/>
        </w:rPr>
        <w:t xml:space="preserve"> - 1. L'articolo 230 del testo unico approvato con regio decreto 5 febbraio 1928, n. 577, l'articolo 415 del regolamento approvato con regio decreto 26 aprile 1928, n. 1297, ed i commi secondo e terzo dell'articolo 28, della legge 30 marzo 1971, n. 118, sono abrogati.</w:t>
      </w:r>
    </w:p>
    <w:p w:rsidR="00DE336C" w:rsidRPr="00DE336C" w:rsidRDefault="00DE336C" w:rsidP="00DE336C">
      <w:pPr>
        <w:spacing w:before="96" w:after="192" w:line="360" w:lineRule="atLeast"/>
        <w:jc w:val="both"/>
        <w:rPr>
          <w:rFonts w:ascii="Verdana" w:eastAsia="Times New Roman" w:hAnsi="Verdana" w:cs="Times New Roman"/>
          <w:color w:val="1D1D1D"/>
          <w:sz w:val="19"/>
          <w:szCs w:val="19"/>
          <w:lang w:eastAsia="it-IT"/>
        </w:rPr>
      </w:pPr>
      <w:bookmarkStart w:id="45" w:name="a44"/>
      <w:bookmarkEnd w:id="45"/>
      <w:r w:rsidRPr="00DE336C">
        <w:rPr>
          <w:rFonts w:ascii="Verdana" w:eastAsia="Times New Roman" w:hAnsi="Verdana" w:cs="Times New Roman"/>
          <w:b/>
          <w:bCs/>
          <w:color w:val="1D1D1D"/>
          <w:sz w:val="19"/>
          <w:szCs w:val="19"/>
          <w:lang w:eastAsia="it-IT"/>
        </w:rPr>
        <w:t>44. Entrata in vigore.</w:t>
      </w:r>
      <w:r w:rsidRPr="00DE336C">
        <w:rPr>
          <w:rFonts w:ascii="Verdana" w:eastAsia="Times New Roman" w:hAnsi="Verdana" w:cs="Times New Roman"/>
          <w:color w:val="1D1D1D"/>
          <w:sz w:val="19"/>
          <w:szCs w:val="19"/>
          <w:lang w:eastAsia="it-IT"/>
        </w:rPr>
        <w:t xml:space="preserve"> - 1. La presente legge entra in vigore il giorno successivo a quello della sua pubblicazione nella Gazzetta Ufficiale.</w:t>
      </w:r>
    </w:p>
    <w:p w:rsidR="003509EA" w:rsidRPr="00DE336C" w:rsidRDefault="003509EA" w:rsidP="00DE336C">
      <w:pPr>
        <w:pBdr>
          <w:top w:val="dashed" w:sz="6" w:space="0" w:color="999999"/>
        </w:pBdr>
        <w:spacing w:after="0" w:line="240" w:lineRule="auto"/>
        <w:rPr>
          <w:rFonts w:ascii="Times New Roman" w:eastAsia="Times New Roman" w:hAnsi="Times New Roman" w:cs="Times New Roman"/>
          <w:sz w:val="24"/>
          <w:szCs w:val="24"/>
          <w:lang w:eastAsia="it-IT"/>
        </w:rPr>
      </w:pPr>
    </w:p>
    <w:sectPr w:rsidR="003509EA" w:rsidRPr="00DE336C" w:rsidSect="003509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E336C"/>
    <w:rsid w:val="003509EA"/>
    <w:rsid w:val="00DE33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EA"/>
  </w:style>
  <w:style w:type="paragraph" w:styleId="Titolo3">
    <w:name w:val="heading 3"/>
    <w:basedOn w:val="Normale"/>
    <w:link w:val="Titolo3Carattere"/>
    <w:uiPriority w:val="9"/>
    <w:qFormat/>
    <w:rsid w:val="00DE336C"/>
    <w:pPr>
      <w:spacing w:before="192" w:after="48" w:line="240" w:lineRule="auto"/>
      <w:outlineLvl w:val="2"/>
    </w:pPr>
    <w:rPr>
      <w:rFonts w:ascii="Georgia" w:eastAsia="Times New Roman" w:hAnsi="Georgia" w:cs="Times New Roman"/>
      <w:b/>
      <w:bCs/>
      <w:smallCaps/>
      <w:color w:val="2777A5"/>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E336C"/>
    <w:rPr>
      <w:rFonts w:ascii="Georgia" w:eastAsia="Times New Roman" w:hAnsi="Georgia" w:cs="Times New Roman"/>
      <w:b/>
      <w:bCs/>
      <w:smallCaps/>
      <w:color w:val="2777A5"/>
      <w:sz w:val="24"/>
      <w:szCs w:val="24"/>
      <w:lang w:eastAsia="it-IT"/>
    </w:rPr>
  </w:style>
  <w:style w:type="paragraph" w:styleId="NormaleWeb">
    <w:name w:val="Normal (Web)"/>
    <w:basedOn w:val="Normale"/>
    <w:uiPriority w:val="99"/>
    <w:semiHidden/>
    <w:unhideWhenUsed/>
    <w:rsid w:val="00DE336C"/>
    <w:pPr>
      <w:spacing w:before="96" w:after="192" w:line="240" w:lineRule="auto"/>
    </w:pPr>
    <w:rPr>
      <w:rFonts w:ascii="Times New Roman" w:eastAsia="Times New Roman" w:hAnsi="Times New Roman" w:cs="Times New Roman"/>
      <w:sz w:val="24"/>
      <w:szCs w:val="24"/>
      <w:lang w:eastAsia="it-IT"/>
    </w:rPr>
  </w:style>
  <w:style w:type="paragraph" w:customStyle="1" w:styleId="layoutdims1">
    <w:name w:val="layoutdims1"/>
    <w:basedOn w:val="Normale"/>
    <w:rsid w:val="00DE336C"/>
    <w:pPr>
      <w:spacing w:after="0" w:line="240" w:lineRule="auto"/>
    </w:pPr>
    <w:rPr>
      <w:rFonts w:ascii="Times New Roman" w:eastAsia="Times New Roman" w:hAnsi="Times New Roman" w:cs="Times New Roman"/>
      <w:sz w:val="24"/>
      <w:szCs w:val="24"/>
      <w:lang w:eastAsia="it-IT"/>
    </w:rPr>
  </w:style>
  <w:style w:type="paragraph" w:customStyle="1" w:styleId="layoutdims21">
    <w:name w:val="layoutdims21"/>
    <w:basedOn w:val="Normale"/>
    <w:rsid w:val="00DE336C"/>
    <w:pPr>
      <w:spacing w:after="0" w:line="240" w:lineRule="auto"/>
      <w:jc w:val="right"/>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E336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E336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E336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E336C"/>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DE33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3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86186">
      <w:bodyDiv w:val="1"/>
      <w:marLeft w:val="0"/>
      <w:marRight w:val="0"/>
      <w:marTop w:val="0"/>
      <w:marBottom w:val="0"/>
      <w:divBdr>
        <w:top w:val="none" w:sz="0" w:space="0" w:color="auto"/>
        <w:left w:val="none" w:sz="0" w:space="0" w:color="auto"/>
        <w:bottom w:val="none" w:sz="0" w:space="0" w:color="auto"/>
        <w:right w:val="none" w:sz="0" w:space="0" w:color="auto"/>
      </w:divBdr>
      <w:divsChild>
        <w:div w:id="1799908870">
          <w:marLeft w:val="0"/>
          <w:marRight w:val="0"/>
          <w:marTop w:val="0"/>
          <w:marBottom w:val="0"/>
          <w:divBdr>
            <w:top w:val="none" w:sz="0" w:space="0" w:color="auto"/>
            <w:left w:val="none" w:sz="0" w:space="0" w:color="auto"/>
            <w:bottom w:val="none" w:sz="0" w:space="0" w:color="auto"/>
            <w:right w:val="none" w:sz="0" w:space="0" w:color="auto"/>
          </w:divBdr>
          <w:divsChild>
            <w:div w:id="2120907133">
              <w:marLeft w:val="0"/>
              <w:marRight w:val="0"/>
              <w:marTop w:val="0"/>
              <w:marBottom w:val="0"/>
              <w:divBdr>
                <w:top w:val="none" w:sz="0" w:space="0" w:color="auto"/>
                <w:left w:val="none" w:sz="0" w:space="0" w:color="auto"/>
                <w:bottom w:val="none" w:sz="0" w:space="0" w:color="auto"/>
                <w:right w:val="none" w:sz="0" w:space="0" w:color="auto"/>
              </w:divBdr>
              <w:divsChild>
                <w:div w:id="1787387800">
                  <w:marLeft w:val="0"/>
                  <w:marRight w:val="0"/>
                  <w:marTop w:val="0"/>
                  <w:marBottom w:val="0"/>
                  <w:divBdr>
                    <w:top w:val="none" w:sz="0" w:space="0" w:color="auto"/>
                    <w:left w:val="none" w:sz="0" w:space="0" w:color="auto"/>
                    <w:bottom w:val="none" w:sz="0" w:space="0" w:color="auto"/>
                    <w:right w:val="none" w:sz="0" w:space="0" w:color="auto"/>
                  </w:divBdr>
                  <w:divsChild>
                    <w:div w:id="1501382537">
                      <w:marLeft w:val="0"/>
                      <w:marRight w:val="0"/>
                      <w:marTop w:val="0"/>
                      <w:marBottom w:val="0"/>
                      <w:divBdr>
                        <w:top w:val="none" w:sz="0" w:space="0" w:color="auto"/>
                        <w:left w:val="none" w:sz="0" w:space="0" w:color="auto"/>
                        <w:bottom w:val="none" w:sz="0" w:space="0" w:color="auto"/>
                        <w:right w:val="none" w:sz="0" w:space="0" w:color="auto"/>
                      </w:divBdr>
                      <w:divsChild>
                        <w:div w:id="12422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07709">
      <w:marLeft w:val="0"/>
      <w:marRight w:val="0"/>
      <w:marTop w:val="0"/>
      <w:marBottom w:val="0"/>
      <w:divBdr>
        <w:top w:val="none" w:sz="0" w:space="0" w:color="auto"/>
        <w:left w:val="none" w:sz="0" w:space="0" w:color="auto"/>
        <w:bottom w:val="none" w:sz="0" w:space="0" w:color="auto"/>
        <w:right w:val="none" w:sz="0" w:space="0" w:color="auto"/>
      </w:divBdr>
      <w:divsChild>
        <w:div w:id="1537351908">
          <w:marLeft w:val="0"/>
          <w:marRight w:val="0"/>
          <w:marTop w:val="0"/>
          <w:marBottom w:val="0"/>
          <w:divBdr>
            <w:top w:val="none" w:sz="0" w:space="0" w:color="auto"/>
            <w:left w:val="none" w:sz="0" w:space="0" w:color="auto"/>
            <w:bottom w:val="none" w:sz="0" w:space="0" w:color="auto"/>
            <w:right w:val="none" w:sz="0" w:space="0" w:color="auto"/>
          </w:divBdr>
          <w:divsChild>
            <w:div w:id="1468084420">
              <w:marLeft w:val="0"/>
              <w:marRight w:val="0"/>
              <w:marTop w:val="0"/>
              <w:marBottom w:val="0"/>
              <w:divBdr>
                <w:top w:val="none" w:sz="0" w:space="0" w:color="auto"/>
                <w:left w:val="none" w:sz="0" w:space="0" w:color="auto"/>
                <w:bottom w:val="none" w:sz="0" w:space="0" w:color="auto"/>
                <w:right w:val="none" w:sz="0" w:space="0" w:color="auto"/>
              </w:divBdr>
              <w:divsChild>
                <w:div w:id="115682770">
                  <w:marLeft w:val="0"/>
                  <w:marRight w:val="0"/>
                  <w:marTop w:val="0"/>
                  <w:marBottom w:val="0"/>
                  <w:divBdr>
                    <w:top w:val="none" w:sz="0" w:space="0" w:color="auto"/>
                    <w:left w:val="none" w:sz="0" w:space="0" w:color="auto"/>
                    <w:bottom w:val="none" w:sz="0" w:space="0" w:color="auto"/>
                    <w:right w:val="none" w:sz="0" w:space="0" w:color="auto"/>
                  </w:divBdr>
                  <w:divsChild>
                    <w:div w:id="1803888081">
                      <w:marLeft w:val="0"/>
                      <w:marRight w:val="0"/>
                      <w:marTop w:val="0"/>
                      <w:marBottom w:val="0"/>
                      <w:divBdr>
                        <w:top w:val="none" w:sz="0" w:space="0" w:color="auto"/>
                        <w:left w:val="none" w:sz="0" w:space="0" w:color="auto"/>
                        <w:bottom w:val="none" w:sz="0" w:space="0" w:color="auto"/>
                        <w:right w:val="none" w:sz="0" w:space="0" w:color="auto"/>
                      </w:divBdr>
                    </w:div>
                    <w:div w:id="1259677530">
                      <w:marLeft w:val="0"/>
                      <w:marRight w:val="0"/>
                      <w:marTop w:val="0"/>
                      <w:marBottom w:val="0"/>
                      <w:divBdr>
                        <w:top w:val="none" w:sz="0" w:space="0" w:color="auto"/>
                        <w:left w:val="none" w:sz="0" w:space="0" w:color="auto"/>
                        <w:bottom w:val="none" w:sz="0" w:space="0" w:color="auto"/>
                        <w:right w:val="none" w:sz="0" w:space="0" w:color="auto"/>
                      </w:divBdr>
                      <w:divsChild>
                        <w:div w:id="1968772527">
                          <w:marLeft w:val="0"/>
                          <w:marRight w:val="0"/>
                          <w:marTop w:val="0"/>
                          <w:marBottom w:val="0"/>
                          <w:divBdr>
                            <w:top w:val="none" w:sz="0" w:space="0" w:color="auto"/>
                            <w:left w:val="none" w:sz="0" w:space="0" w:color="auto"/>
                            <w:bottom w:val="none" w:sz="0" w:space="0" w:color="auto"/>
                            <w:right w:val="none" w:sz="0" w:space="0" w:color="auto"/>
                          </w:divBdr>
                        </w:div>
                        <w:div w:id="1451557760">
                          <w:marLeft w:val="0"/>
                          <w:marRight w:val="0"/>
                          <w:marTop w:val="0"/>
                          <w:marBottom w:val="0"/>
                          <w:divBdr>
                            <w:top w:val="none" w:sz="0" w:space="0" w:color="auto"/>
                            <w:left w:val="none" w:sz="0" w:space="0" w:color="auto"/>
                            <w:bottom w:val="none" w:sz="0" w:space="0" w:color="auto"/>
                            <w:right w:val="none" w:sz="0" w:space="0" w:color="auto"/>
                          </w:divBdr>
                        </w:div>
                        <w:div w:id="1303340341">
                          <w:marLeft w:val="0"/>
                          <w:marRight w:val="0"/>
                          <w:marTop w:val="0"/>
                          <w:marBottom w:val="0"/>
                          <w:divBdr>
                            <w:top w:val="none" w:sz="0" w:space="0" w:color="auto"/>
                            <w:left w:val="none" w:sz="0" w:space="0" w:color="auto"/>
                            <w:bottom w:val="none" w:sz="0" w:space="0" w:color="auto"/>
                            <w:right w:val="none" w:sz="0" w:space="0" w:color="auto"/>
                          </w:divBdr>
                        </w:div>
                      </w:divsChild>
                    </w:div>
                    <w:div w:id="12758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17621">
      <w:marLeft w:val="0"/>
      <w:marRight w:val="0"/>
      <w:marTop w:val="0"/>
      <w:marBottom w:val="0"/>
      <w:divBdr>
        <w:top w:val="single" w:sz="6" w:space="0" w:color="D0C6A7"/>
        <w:left w:val="none" w:sz="0" w:space="0" w:color="auto"/>
        <w:bottom w:val="none" w:sz="0" w:space="0" w:color="auto"/>
        <w:right w:val="none" w:sz="0" w:space="0" w:color="auto"/>
      </w:divBdr>
      <w:divsChild>
        <w:div w:id="1491599383">
          <w:marLeft w:val="0"/>
          <w:marRight w:val="0"/>
          <w:marTop w:val="0"/>
          <w:marBottom w:val="0"/>
          <w:divBdr>
            <w:top w:val="none" w:sz="0" w:space="0" w:color="auto"/>
            <w:left w:val="none" w:sz="0" w:space="0" w:color="auto"/>
            <w:bottom w:val="none" w:sz="0" w:space="0" w:color="auto"/>
            <w:right w:val="none" w:sz="0" w:space="0" w:color="auto"/>
          </w:divBdr>
          <w:divsChild>
            <w:div w:id="1393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8988">
      <w:marLeft w:val="0"/>
      <w:marRight w:val="0"/>
      <w:marTop w:val="0"/>
      <w:marBottom w:val="0"/>
      <w:divBdr>
        <w:top w:val="none" w:sz="0" w:space="0" w:color="auto"/>
        <w:left w:val="none" w:sz="0" w:space="0" w:color="auto"/>
        <w:bottom w:val="single" w:sz="6" w:space="0" w:color="D0C6A7"/>
        <w:right w:val="none" w:sz="0" w:space="0" w:color="auto"/>
      </w:divBdr>
      <w:divsChild>
        <w:div w:id="576089836">
          <w:marLeft w:val="0"/>
          <w:marRight w:val="0"/>
          <w:marTop w:val="0"/>
          <w:marBottom w:val="0"/>
          <w:divBdr>
            <w:top w:val="none" w:sz="0" w:space="0" w:color="auto"/>
            <w:left w:val="none" w:sz="0" w:space="0" w:color="auto"/>
            <w:bottom w:val="none" w:sz="0" w:space="0" w:color="auto"/>
            <w:right w:val="none" w:sz="0" w:space="0" w:color="auto"/>
          </w:divBdr>
        </w:div>
        <w:div w:id="2006978416">
          <w:marLeft w:val="0"/>
          <w:marRight w:val="0"/>
          <w:marTop w:val="0"/>
          <w:marBottom w:val="0"/>
          <w:divBdr>
            <w:top w:val="none" w:sz="0" w:space="0" w:color="auto"/>
            <w:left w:val="none" w:sz="0" w:space="0" w:color="auto"/>
            <w:bottom w:val="none" w:sz="0" w:space="0" w:color="auto"/>
            <w:right w:val="none" w:sz="0" w:space="0" w:color="auto"/>
          </w:divBdr>
        </w:div>
        <w:div w:id="1512833138">
          <w:marLeft w:val="0"/>
          <w:marRight w:val="0"/>
          <w:marTop w:val="0"/>
          <w:marBottom w:val="0"/>
          <w:divBdr>
            <w:top w:val="none" w:sz="0" w:space="0" w:color="auto"/>
            <w:left w:val="none" w:sz="0" w:space="0" w:color="auto"/>
            <w:bottom w:val="none" w:sz="0" w:space="0" w:color="auto"/>
            <w:right w:val="none" w:sz="0" w:space="0" w:color="auto"/>
          </w:divBdr>
        </w:div>
        <w:div w:id="478309267">
          <w:marLeft w:val="0"/>
          <w:marRight w:val="0"/>
          <w:marTop w:val="0"/>
          <w:marBottom w:val="0"/>
          <w:divBdr>
            <w:top w:val="single" w:sz="6" w:space="0" w:color="CC3333"/>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andylex.org/stato/l231278.shtml" TargetMode="External"/><Relationship Id="rId18" Type="http://schemas.openxmlformats.org/officeDocument/2006/relationships/hyperlink" Target="http://www.handylex.org/stato/l231278.shtml" TargetMode="External"/><Relationship Id="rId26" Type="http://schemas.openxmlformats.org/officeDocument/2006/relationships/hyperlink" Target="http://www.handylex.org/stato/l191190.shtml" TargetMode="External"/><Relationship Id="rId39" Type="http://schemas.openxmlformats.org/officeDocument/2006/relationships/hyperlink" Target="http://www.handylex.org/stato/l090189.shtml" TargetMode="External"/><Relationship Id="rId21" Type="http://schemas.openxmlformats.org/officeDocument/2006/relationships/hyperlink" Target="http://www.handylex.org/stato/l040877.shtml" TargetMode="External"/><Relationship Id="rId34" Type="http://schemas.openxmlformats.org/officeDocument/2006/relationships/hyperlink" Target="http://www.handylex.org/stato/d301194.shtml" TargetMode="External"/><Relationship Id="rId42" Type="http://schemas.openxmlformats.org/officeDocument/2006/relationships/hyperlink" Target="http://www.handylex.org/stato/d140689.shtml" TargetMode="External"/><Relationship Id="rId47" Type="http://schemas.openxmlformats.org/officeDocument/2006/relationships/hyperlink" Target="http://www.handylex.org/stato/l300371.shtml" TargetMode="External"/><Relationship Id="rId50" Type="http://schemas.openxmlformats.org/officeDocument/2006/relationships/hyperlink" Target="http://www.handylex.org/stato/l090486.shtml" TargetMode="External"/><Relationship Id="rId55" Type="http://schemas.openxmlformats.org/officeDocument/2006/relationships/hyperlink" Target="http://www.handylex.org/cgi-bin/hl3/cat.pl?v=a&amp;d=4401&amp;c=4402" TargetMode="External"/><Relationship Id="rId63" Type="http://schemas.openxmlformats.org/officeDocument/2006/relationships/hyperlink" Target="http://www.handylex.org/stato/d260301.shtml" TargetMode="External"/><Relationship Id="rId68" Type="http://schemas.openxmlformats.org/officeDocument/2006/relationships/hyperlink" Target="http://www.handylex.org/stato/l210598.shtml" TargetMode="External"/><Relationship Id="rId7" Type="http://schemas.openxmlformats.org/officeDocument/2006/relationships/hyperlink" Target="http://www.handylex.org/stato/l151090.shtml" TargetMode="External"/><Relationship Id="rId71" Type="http://schemas.openxmlformats.org/officeDocument/2006/relationships/hyperlink" Target="http://www.handylex.org/stato/l210598.shtml" TargetMode="External"/><Relationship Id="rId2" Type="http://schemas.openxmlformats.org/officeDocument/2006/relationships/settings" Target="settings.xml"/><Relationship Id="rId16" Type="http://schemas.openxmlformats.org/officeDocument/2006/relationships/hyperlink" Target="http://www.handylex.org/stato/d031189.shtml" TargetMode="External"/><Relationship Id="rId29" Type="http://schemas.openxmlformats.org/officeDocument/2006/relationships/hyperlink" Target="http://www.handylex.org/stato/l280199.shtml" TargetMode="External"/><Relationship Id="rId11" Type="http://schemas.openxmlformats.org/officeDocument/2006/relationships/hyperlink" Target="http://www.handylex.org/stato/l080690.shtml" TargetMode="External"/><Relationship Id="rId24" Type="http://schemas.openxmlformats.org/officeDocument/2006/relationships/hyperlink" Target="http://www.handylex.org/stato/l280199.shtml" TargetMode="External"/><Relationship Id="rId32" Type="http://schemas.openxmlformats.org/officeDocument/2006/relationships/hyperlink" Target="http://www.handylex.org/stato/l211278.shtml" TargetMode="External"/><Relationship Id="rId37" Type="http://schemas.openxmlformats.org/officeDocument/2006/relationships/hyperlink" Target="http://www.handylex.org/stato/d140689.shtml" TargetMode="External"/><Relationship Id="rId40" Type="http://schemas.openxmlformats.org/officeDocument/2006/relationships/hyperlink" Target="http://www.handylex.org/stato/l300371.shtml" TargetMode="External"/><Relationship Id="rId45" Type="http://schemas.openxmlformats.org/officeDocument/2006/relationships/hyperlink" Target="http://www.handylex.org/stato/l280286.shtml" TargetMode="External"/><Relationship Id="rId53" Type="http://schemas.openxmlformats.org/officeDocument/2006/relationships/hyperlink" Target="http://www.handylex.org/stato/l301271.shtml" TargetMode="External"/><Relationship Id="rId58" Type="http://schemas.openxmlformats.org/officeDocument/2006/relationships/hyperlink" Target="http://www.handylex.org/stato/l080300.shtml" TargetMode="External"/><Relationship Id="rId66" Type="http://schemas.openxmlformats.org/officeDocument/2006/relationships/hyperlink" Target="http://www.handylex.org/stato/l231278.shtml" TargetMode="External"/><Relationship Id="rId5" Type="http://schemas.openxmlformats.org/officeDocument/2006/relationships/hyperlink" Target="http://www.handylex.org/stato/d260301.shtml" TargetMode="External"/><Relationship Id="rId15" Type="http://schemas.openxmlformats.org/officeDocument/2006/relationships/hyperlink" Target="http://www.handylex.org/stato/l080690.shtml" TargetMode="External"/><Relationship Id="rId23" Type="http://schemas.openxmlformats.org/officeDocument/2006/relationships/hyperlink" Target="http://www.handylex.org/stato/d090792.shtml" TargetMode="External"/><Relationship Id="rId28" Type="http://schemas.openxmlformats.org/officeDocument/2006/relationships/hyperlink" Target="http://www.handylex.org/stato/l191190.shtml" TargetMode="External"/><Relationship Id="rId36" Type="http://schemas.openxmlformats.org/officeDocument/2006/relationships/hyperlink" Target="http://www.handylex.org/schede/sedelavoro.shtml?d=4401&amp;cf=4090" TargetMode="External"/><Relationship Id="rId49" Type="http://schemas.openxmlformats.org/officeDocument/2006/relationships/hyperlink" Target="http://www.handylex.org/stato/d270478.shtml" TargetMode="External"/><Relationship Id="rId57" Type="http://schemas.openxmlformats.org/officeDocument/2006/relationships/hyperlink" Target="http://www.handylex.org/stato/l271093.shtml" TargetMode="External"/><Relationship Id="rId61" Type="http://schemas.openxmlformats.org/officeDocument/2006/relationships/hyperlink" Target="http://www.handylex.org/stato/l080300.shtml" TargetMode="External"/><Relationship Id="rId10" Type="http://schemas.openxmlformats.org/officeDocument/2006/relationships/hyperlink" Target="http://www.handylex.org/stato/l231278.shtml" TargetMode="External"/><Relationship Id="rId19" Type="http://schemas.openxmlformats.org/officeDocument/2006/relationships/hyperlink" Target="http://www.handylex.org/stato/d240294.shtml" TargetMode="External"/><Relationship Id="rId31" Type="http://schemas.openxmlformats.org/officeDocument/2006/relationships/hyperlink" Target="http://www.handylex.org/stato/l211278.shtml" TargetMode="External"/><Relationship Id="rId44" Type="http://schemas.openxmlformats.org/officeDocument/2006/relationships/hyperlink" Target="http://www.handylex.org/stato/l280286.shtml" TargetMode="External"/><Relationship Id="rId52" Type="http://schemas.openxmlformats.org/officeDocument/2006/relationships/hyperlink" Target="http://www.handylex.org/stato/l150191.shtml" TargetMode="External"/><Relationship Id="rId60" Type="http://schemas.openxmlformats.org/officeDocument/2006/relationships/hyperlink" Target="http://www.handylex.org/stato/l080300.shtml" TargetMode="External"/><Relationship Id="rId65" Type="http://schemas.openxmlformats.org/officeDocument/2006/relationships/hyperlink" Target="http://www.handylex.org/stato/l231278.shtml" TargetMode="External"/><Relationship Id="rId73" Type="http://schemas.openxmlformats.org/officeDocument/2006/relationships/theme" Target="theme/theme1.xml"/><Relationship Id="rId4" Type="http://schemas.openxmlformats.org/officeDocument/2006/relationships/hyperlink" Target="http://www.handylex.org/stato/l080300.shtml" TargetMode="External"/><Relationship Id="rId9" Type="http://schemas.openxmlformats.org/officeDocument/2006/relationships/hyperlink" Target="http://www.handylex.org/stato/l080690.shtml" TargetMode="External"/><Relationship Id="rId14" Type="http://schemas.openxmlformats.org/officeDocument/2006/relationships/hyperlink" Target="http://www.handylex.org/stato/l110891.shtml" TargetMode="External"/><Relationship Id="rId22" Type="http://schemas.openxmlformats.org/officeDocument/2006/relationships/hyperlink" Target="http://www.handylex.org/stato/l080690.shtml" TargetMode="External"/><Relationship Id="rId27" Type="http://schemas.openxmlformats.org/officeDocument/2006/relationships/hyperlink" Target="http://www.handylex.org/stato/l191190.shtml" TargetMode="External"/><Relationship Id="rId30" Type="http://schemas.openxmlformats.org/officeDocument/2006/relationships/hyperlink" Target="http://www.handylex.org/stato/l280199.shtml" TargetMode="External"/><Relationship Id="rId35" Type="http://schemas.openxmlformats.org/officeDocument/2006/relationships/hyperlink" Target="http://www.handylex.org/stato/l020468.shtml" TargetMode="External"/><Relationship Id="rId43" Type="http://schemas.openxmlformats.org/officeDocument/2006/relationships/hyperlink" Target="http://www.handylex.org/stato/l280286.shtml" TargetMode="External"/><Relationship Id="rId48" Type="http://schemas.openxmlformats.org/officeDocument/2006/relationships/hyperlink" Target="http://www.handylex.org/stato/l080690.shtml" TargetMode="External"/><Relationship Id="rId56" Type="http://schemas.openxmlformats.org/officeDocument/2006/relationships/hyperlink" Target="http://www.handylex.org/schede/sedelavoro.shtml?d=4401&amp;cf=4090" TargetMode="External"/><Relationship Id="rId64" Type="http://schemas.openxmlformats.org/officeDocument/2006/relationships/hyperlink" Target="http://www.handylex.org/stato/d260301.shtml" TargetMode="External"/><Relationship Id="rId69" Type="http://schemas.openxmlformats.org/officeDocument/2006/relationships/hyperlink" Target="http://www.handylex.org/stato/l210598.shtml" TargetMode="External"/><Relationship Id="rId8" Type="http://schemas.openxmlformats.org/officeDocument/2006/relationships/hyperlink" Target="http://www.handylex.org/schede/accertah.shtml" TargetMode="External"/><Relationship Id="rId51" Type="http://schemas.openxmlformats.org/officeDocument/2006/relationships/hyperlink" Target="http://www.handylex.org/stato/d270478.s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handylex.org/stato/l231278.shtml" TargetMode="External"/><Relationship Id="rId17" Type="http://schemas.openxmlformats.org/officeDocument/2006/relationships/hyperlink" Target="http://www.handylex.org/stato/l231278.shtml" TargetMode="External"/><Relationship Id="rId25" Type="http://schemas.openxmlformats.org/officeDocument/2006/relationships/hyperlink" Target="http://www.handylex.org/stato/l191190.shtml" TargetMode="External"/><Relationship Id="rId33" Type="http://schemas.openxmlformats.org/officeDocument/2006/relationships/hyperlink" Target="http://www.handylex.org/stato/l211278.shtml" TargetMode="External"/><Relationship Id="rId38" Type="http://schemas.openxmlformats.org/officeDocument/2006/relationships/hyperlink" Target="http://www.handylex.org/stato/l090189.shtml" TargetMode="External"/><Relationship Id="rId46" Type="http://schemas.openxmlformats.org/officeDocument/2006/relationships/hyperlink" Target="http://www.handylex.org/stato/d270478.shtml" TargetMode="External"/><Relationship Id="rId59" Type="http://schemas.openxmlformats.org/officeDocument/2006/relationships/hyperlink" Target="http://www.handylex.org/stato/l080300.shtml" TargetMode="External"/><Relationship Id="rId67" Type="http://schemas.openxmlformats.org/officeDocument/2006/relationships/hyperlink" Target="http://www.handylex.org/stato/l080690.shtml" TargetMode="External"/><Relationship Id="rId20" Type="http://schemas.openxmlformats.org/officeDocument/2006/relationships/hyperlink" Target="http://www.handylex.org/stato/d230206.shtml" TargetMode="External"/><Relationship Id="rId41" Type="http://schemas.openxmlformats.org/officeDocument/2006/relationships/hyperlink" Target="http://www.handylex.org/stato/d270478.shtml" TargetMode="External"/><Relationship Id="rId54" Type="http://schemas.openxmlformats.org/officeDocument/2006/relationships/hyperlink" Target="http://www.handylex.org/stato/l301271.shtml" TargetMode="External"/><Relationship Id="rId62" Type="http://schemas.openxmlformats.org/officeDocument/2006/relationships/hyperlink" Target="http://www.handylex.org/stato/c170700.shtml" TargetMode="External"/><Relationship Id="rId70" Type="http://schemas.openxmlformats.org/officeDocument/2006/relationships/hyperlink" Target="http://www.handylex.org/stato/l210598.shtml" TargetMode="External"/><Relationship Id="rId1" Type="http://schemas.openxmlformats.org/officeDocument/2006/relationships/styles" Target="styles.xml"/><Relationship Id="rId6" Type="http://schemas.openxmlformats.org/officeDocument/2006/relationships/hyperlink" Target="http://www.handylex.org/schede/accertah.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12995</Words>
  <Characters>74078</Characters>
  <Application>Microsoft Office Word</Application>
  <DocSecurity>0</DocSecurity>
  <Lines>617</Lines>
  <Paragraphs>173</Paragraphs>
  <ScaleCrop>false</ScaleCrop>
  <Company/>
  <LinksUpToDate>false</LinksUpToDate>
  <CharactersWithSpaces>86900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2010-08-29T22:52:00Z</dcterms:created>
  <dcterms:modified xsi:type="dcterms:W3CDTF">2010-08-29T23:00:00Z</dcterms:modified>
</cp:coreProperties>
</file>